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5826" w14:textId="77777777" w:rsidR="00E05FC4" w:rsidRDefault="00E05FC4" w:rsidP="00525275"/>
    <w:p w14:paraId="45069D60" w14:textId="0C2DD290" w:rsidR="3187830C" w:rsidRPr="000A412C" w:rsidRDefault="3187830C" w:rsidP="00D37A4B">
      <w:pPr>
        <w:spacing w:line="259" w:lineRule="auto"/>
        <w:jc w:val="center"/>
        <w:rPr>
          <w:b/>
          <w:bCs/>
          <w:sz w:val="44"/>
          <w:szCs w:val="44"/>
        </w:rPr>
      </w:pPr>
      <w:r w:rsidRPr="000A412C">
        <w:rPr>
          <w:b/>
          <w:bCs/>
          <w:sz w:val="40"/>
          <w:szCs w:val="40"/>
        </w:rPr>
        <w:t xml:space="preserve">The </w:t>
      </w:r>
      <w:r w:rsidR="006F1805">
        <w:rPr>
          <w:b/>
          <w:bCs/>
          <w:sz w:val="40"/>
          <w:szCs w:val="40"/>
        </w:rPr>
        <w:t xml:space="preserve">extent and </w:t>
      </w:r>
      <w:r w:rsidRPr="000A412C">
        <w:rPr>
          <w:b/>
          <w:bCs/>
          <w:sz w:val="40"/>
          <w:szCs w:val="40"/>
        </w:rPr>
        <w:t xml:space="preserve">impact of </w:t>
      </w:r>
      <w:r w:rsidR="002A63A1">
        <w:rPr>
          <w:b/>
          <w:bCs/>
          <w:sz w:val="40"/>
          <w:szCs w:val="40"/>
        </w:rPr>
        <w:t xml:space="preserve">vaccine status </w:t>
      </w:r>
      <w:r w:rsidRPr="000A412C">
        <w:rPr>
          <w:b/>
          <w:bCs/>
          <w:sz w:val="40"/>
          <w:szCs w:val="40"/>
        </w:rPr>
        <w:t>misc</w:t>
      </w:r>
      <w:r w:rsidR="00551175">
        <w:rPr>
          <w:b/>
          <w:bCs/>
          <w:sz w:val="40"/>
          <w:szCs w:val="40"/>
        </w:rPr>
        <w:t>ategorisation</w:t>
      </w:r>
      <w:r w:rsidRPr="000A412C">
        <w:rPr>
          <w:b/>
          <w:bCs/>
          <w:sz w:val="40"/>
          <w:szCs w:val="40"/>
        </w:rPr>
        <w:t xml:space="preserve"> on covid</w:t>
      </w:r>
      <w:r w:rsidR="00664A73">
        <w:rPr>
          <w:b/>
          <w:bCs/>
          <w:sz w:val="40"/>
          <w:szCs w:val="40"/>
        </w:rPr>
        <w:t>-19</w:t>
      </w:r>
      <w:r w:rsidRPr="000A412C">
        <w:rPr>
          <w:b/>
          <w:bCs/>
          <w:sz w:val="40"/>
          <w:szCs w:val="40"/>
        </w:rPr>
        <w:t xml:space="preserve"> vaccine efficacy studies</w:t>
      </w:r>
    </w:p>
    <w:p w14:paraId="620FB5BF" w14:textId="77777777" w:rsidR="00E05FC4" w:rsidRDefault="00E05FC4" w:rsidP="00525275"/>
    <w:p w14:paraId="36C45529" w14:textId="62280631" w:rsidR="00D37A4B" w:rsidRPr="00E336A7" w:rsidRDefault="004F5AB4" w:rsidP="00E336A7">
      <w:pPr>
        <w:jc w:val="center"/>
      </w:pPr>
      <w:r w:rsidRPr="00E336A7">
        <w:t>Martin Neil</w:t>
      </w:r>
      <w:r w:rsidR="002A38C2" w:rsidRPr="00E336A7">
        <w:t xml:space="preserve"> (m.neil@qmul.ac.uk)</w:t>
      </w:r>
    </w:p>
    <w:p w14:paraId="332F4778" w14:textId="552FFFFE" w:rsidR="004F5AB4" w:rsidRPr="00E336A7" w:rsidRDefault="004F5AB4" w:rsidP="00E336A7">
      <w:pPr>
        <w:jc w:val="center"/>
      </w:pPr>
      <w:r w:rsidRPr="00E336A7">
        <w:t xml:space="preserve">School of </w:t>
      </w:r>
      <w:r w:rsidR="00246F37" w:rsidRPr="00E336A7">
        <w:t>E</w:t>
      </w:r>
      <w:r w:rsidRPr="00E336A7">
        <w:t>lectronic Engineering and Computer Science</w:t>
      </w:r>
    </w:p>
    <w:p w14:paraId="69040DB3" w14:textId="002759AD" w:rsidR="004F5AB4" w:rsidRPr="00E336A7" w:rsidRDefault="004F5AB4" w:rsidP="00E336A7">
      <w:pPr>
        <w:jc w:val="center"/>
      </w:pPr>
      <w:r w:rsidRPr="00E336A7">
        <w:t>Queen Mary</w:t>
      </w:r>
      <w:r w:rsidR="00246F37" w:rsidRPr="00E336A7">
        <w:t>, University of London</w:t>
      </w:r>
    </w:p>
    <w:p w14:paraId="48B18959" w14:textId="77777777" w:rsidR="00246F37" w:rsidRPr="00E336A7" w:rsidRDefault="00246F37" w:rsidP="00E336A7">
      <w:pPr>
        <w:jc w:val="center"/>
      </w:pPr>
    </w:p>
    <w:p w14:paraId="3467FEDC" w14:textId="4A4F82C4" w:rsidR="00246F37" w:rsidRPr="00E336A7" w:rsidRDefault="00246F37" w:rsidP="00E336A7">
      <w:pPr>
        <w:jc w:val="center"/>
      </w:pPr>
      <w:r w:rsidRPr="00E336A7">
        <w:t>Norman Fenton</w:t>
      </w:r>
      <w:r w:rsidR="002A38C2" w:rsidRPr="00E336A7">
        <w:t xml:space="preserve"> (n</w:t>
      </w:r>
      <w:r w:rsidR="00620F1F" w:rsidRPr="00E336A7">
        <w:t>.fenton@qmul.ac.uk)</w:t>
      </w:r>
    </w:p>
    <w:p w14:paraId="6C06AA6F" w14:textId="1CF991D3" w:rsidR="00246F37" w:rsidRPr="00E336A7" w:rsidRDefault="00246F37" w:rsidP="00E336A7">
      <w:pPr>
        <w:jc w:val="center"/>
      </w:pPr>
      <w:r w:rsidRPr="00E336A7">
        <w:t>School of Electronic Engineering and Computer Science</w:t>
      </w:r>
    </w:p>
    <w:p w14:paraId="56C55F81" w14:textId="77777777" w:rsidR="00246F37" w:rsidRPr="00E336A7" w:rsidRDefault="00246F37" w:rsidP="00E336A7">
      <w:pPr>
        <w:jc w:val="center"/>
      </w:pPr>
      <w:r w:rsidRPr="00E336A7">
        <w:t>Queen Mary, University of London</w:t>
      </w:r>
    </w:p>
    <w:p w14:paraId="09DD2461" w14:textId="77777777" w:rsidR="00246F37" w:rsidRPr="00E336A7" w:rsidRDefault="00246F37" w:rsidP="00E336A7">
      <w:pPr>
        <w:jc w:val="center"/>
      </w:pPr>
    </w:p>
    <w:p w14:paraId="3E123E41" w14:textId="79ED357C" w:rsidR="00246F37" w:rsidRPr="00E336A7" w:rsidRDefault="00246F37" w:rsidP="00E336A7">
      <w:pPr>
        <w:jc w:val="center"/>
      </w:pPr>
      <w:r w:rsidRPr="00E336A7">
        <w:t>Scott McLachlan</w:t>
      </w:r>
      <w:r w:rsidR="00620F1F" w:rsidRPr="00E336A7">
        <w:t xml:space="preserve"> (scott.mclachlan@kcl.ac.uk)</w:t>
      </w:r>
    </w:p>
    <w:p w14:paraId="123FAFBB" w14:textId="7100B6D5" w:rsidR="00246F37" w:rsidRPr="00E336A7" w:rsidRDefault="00246F37" w:rsidP="00E336A7">
      <w:pPr>
        <w:jc w:val="center"/>
      </w:pPr>
      <w:r w:rsidRPr="00E336A7">
        <w:t xml:space="preserve">School of </w:t>
      </w:r>
      <w:r w:rsidR="000B5A53" w:rsidRPr="00E336A7">
        <w:t>Nursing, Midwifery and Palliative Care</w:t>
      </w:r>
    </w:p>
    <w:p w14:paraId="49E6057E" w14:textId="7E3DBF2D" w:rsidR="00246F37" w:rsidRPr="00E336A7" w:rsidRDefault="00246F37" w:rsidP="00E336A7">
      <w:pPr>
        <w:jc w:val="center"/>
      </w:pPr>
      <w:r w:rsidRPr="00E336A7">
        <w:t>Kings College London</w:t>
      </w:r>
    </w:p>
    <w:p w14:paraId="5FBD7B1A" w14:textId="77777777" w:rsidR="00D37A4B" w:rsidRDefault="00D37A4B" w:rsidP="00525275"/>
    <w:p w14:paraId="2199963D" w14:textId="77777777" w:rsidR="00D37A4B" w:rsidRDefault="00D37A4B" w:rsidP="00525275"/>
    <w:p w14:paraId="3CC2F814" w14:textId="2503E5F4" w:rsidR="00D37A4B" w:rsidRDefault="00D37A4B" w:rsidP="004F5AB4">
      <w:pPr>
        <w:ind w:left="1134" w:right="1365"/>
        <w:jc w:val="center"/>
        <w:rPr>
          <w:b/>
          <w:bCs/>
        </w:rPr>
      </w:pPr>
      <w:r w:rsidRPr="00D37A4B">
        <w:rPr>
          <w:b/>
          <w:bCs/>
        </w:rPr>
        <w:t>Abstract</w:t>
      </w:r>
    </w:p>
    <w:p w14:paraId="693428E8" w14:textId="77777777" w:rsidR="00D37A4B" w:rsidRDefault="00D37A4B" w:rsidP="00D37A4B">
      <w:pPr>
        <w:ind w:left="1134"/>
        <w:rPr>
          <w:b/>
          <w:bCs/>
        </w:rPr>
      </w:pPr>
    </w:p>
    <w:p w14:paraId="4714A0BD" w14:textId="29C48CCA" w:rsidR="00D37A4B" w:rsidRDefault="12B34A52" w:rsidP="005E28EC">
      <w:pPr>
        <w:ind w:left="567" w:right="1082"/>
      </w:pPr>
      <w:r>
        <w:t>It is recognised that many studies reporting high efficacy for Covid-19 vaccines suffer from various selection biases.</w:t>
      </w:r>
      <w:r w:rsidR="003E1D2E">
        <w:t xml:space="preserve"> </w:t>
      </w:r>
      <w:r>
        <w:t xml:space="preserve">Systematic review identified thirty-nine studies that suffered from one particular and serious form of bias called miscategorisation bias, whereby study participants who have been vaccinated are categorised as unvaccinated up to and until some arbitrarily defined time after vaccination occurred. Simulation demonstrates that this miscategorisation bias artificially boosts vaccine efficacy and infection rates even when a vaccine has zero or negative efficacy. Furthermore, simulation demonstrates that repeated boosters, given every few months, are needed to maintain this misleading impression of efficacy. Given this, any claims of Covid-19 </w:t>
      </w:r>
      <w:r w:rsidR="00645BB2">
        <w:t xml:space="preserve">vaccine </w:t>
      </w:r>
      <w:r>
        <w:t xml:space="preserve">efficacy </w:t>
      </w:r>
      <w:r w:rsidR="00455748">
        <w:t>based on th</w:t>
      </w:r>
      <w:r w:rsidR="009251E1">
        <w:t xml:space="preserve">ese studies </w:t>
      </w:r>
      <w:r>
        <w:t>are likely to be a statistical illusion.</w:t>
      </w:r>
    </w:p>
    <w:p w14:paraId="32BFAEE8" w14:textId="77777777" w:rsidR="00E336A7" w:rsidRDefault="00E336A7" w:rsidP="005E28EC">
      <w:pPr>
        <w:ind w:left="567" w:right="1082"/>
      </w:pPr>
    </w:p>
    <w:p w14:paraId="14970B28" w14:textId="4018C37C" w:rsidR="00782DA8" w:rsidRDefault="00782DA8" w:rsidP="005E28EC">
      <w:pPr>
        <w:ind w:left="567" w:right="1082"/>
      </w:pPr>
      <w:r w:rsidRPr="00782DA8">
        <w:t xml:space="preserve">Keywords: </w:t>
      </w:r>
      <w:r w:rsidR="00FF0B54">
        <w:t>simulation</w:t>
      </w:r>
      <w:r w:rsidRPr="00782DA8">
        <w:t xml:space="preserve">; covid-19; evidence-based medicine; </w:t>
      </w:r>
      <w:r w:rsidR="009F49BC">
        <w:t>mis-categorisation; selection bias</w:t>
      </w:r>
      <w:r w:rsidRPr="00782DA8">
        <w:t>; observational studies; public health; vaccine effectiveness.</w:t>
      </w:r>
    </w:p>
    <w:p w14:paraId="7DC6897D" w14:textId="77777777" w:rsidR="00D37A4B" w:rsidRDefault="00D37A4B" w:rsidP="00525275"/>
    <w:p w14:paraId="45776294" w14:textId="77777777" w:rsidR="006139AC" w:rsidRPr="006139AC" w:rsidRDefault="006139AC" w:rsidP="004F5AB4">
      <w:pPr>
        <w:jc w:val="center"/>
        <w:rPr>
          <w:lang w:val="en-US"/>
        </w:rPr>
      </w:pPr>
      <w:r w:rsidRPr="006139AC">
        <w:rPr>
          <w:lang w:val="en-US"/>
        </w:rPr>
        <w:t xml:space="preserve">——————————   </w:t>
      </w:r>
      <w:r w:rsidRPr="006139AC">
        <w:rPr>
          <w:rFonts w:ascii="Wingdings" w:eastAsia="Wingdings" w:hAnsi="Wingdings" w:cs="Wingdings"/>
          <w:lang w:val="en-US"/>
        </w:rPr>
        <w:t>u</w:t>
      </w:r>
      <w:r w:rsidRPr="006139AC">
        <w:rPr>
          <w:lang w:val="en-US"/>
        </w:rPr>
        <w:t xml:space="preserve">   ——————————</w:t>
      </w:r>
    </w:p>
    <w:p w14:paraId="0FBC52CE" w14:textId="77777777" w:rsidR="00E05FC4" w:rsidRDefault="3187830C" w:rsidP="00E05FC4">
      <w:pPr>
        <w:pStyle w:val="Heading1"/>
      </w:pPr>
      <w:r>
        <w:t>1. Introduction</w:t>
      </w:r>
    </w:p>
    <w:p w14:paraId="4828E492" w14:textId="712EB2A9" w:rsidR="001F294D" w:rsidRDefault="12B34A52" w:rsidP="006306A0">
      <w:r>
        <w:t>Considerable attention has been given to the reported high efficacy for the Covid-19 vaccines and how many of these studies have exhibited signs of selection bias (Reeder, 2021, Fung, Jones &amp; Doshi, 2023; Heying &amp; Weinstein, 2023; Ioannidis, 2022; Fenton &amp; Neil, 2023). One major kind of selection bias takes the form of miscategorisation, whereby study participants who have been vaccinated are miscategorised as unvaccinated up to and until some arbitrarily defined time after vaccination occurred (typically up to 14 or 21 days). This selection bias, which has been seen to take several different types, all of which help exaggerate vaccine efficacy, has recently become known colloquially as the ‘cheap trick’ (Fenton &amp; Neil, 2023).</w:t>
      </w:r>
    </w:p>
    <w:p w14:paraId="11B4CC7A" w14:textId="77777777" w:rsidR="001F294D" w:rsidRDefault="001F294D" w:rsidP="006306A0"/>
    <w:p w14:paraId="6B58CDEC" w14:textId="55A5D4FA" w:rsidR="00485345" w:rsidRDefault="12B34A52" w:rsidP="006306A0">
      <w:r>
        <w:t xml:space="preserve">To identify the different types of miscategorisation bias and evaluate how widespread it is, we conducted a review of Covid-19 vaccine studies to identify those studies that have employed </w:t>
      </w:r>
      <w:r w:rsidRPr="005B0BC1">
        <w:t>miscategorisation selection bias and we have simulated the effects of this selection bias on measu</w:t>
      </w:r>
      <w:r>
        <w:t>res of vaccine efficacy.</w:t>
      </w:r>
    </w:p>
    <w:p w14:paraId="727A9FC3" w14:textId="77777777" w:rsidR="00485345" w:rsidRDefault="00485345" w:rsidP="006306A0"/>
    <w:p w14:paraId="4C968479" w14:textId="48E0C88D" w:rsidR="00767B69" w:rsidRDefault="001E48BD" w:rsidP="006306A0">
      <w:r>
        <w:t>Th</w:t>
      </w:r>
      <w:r w:rsidR="00AC2E62">
        <w:t>is</w:t>
      </w:r>
      <w:r w:rsidR="00B3115C">
        <w:t xml:space="preserve"> review reveals that</w:t>
      </w:r>
      <w:r w:rsidR="00215BA4">
        <w:t xml:space="preserve">, </w:t>
      </w:r>
      <w:r w:rsidR="00E358EE">
        <w:t xml:space="preserve">up </w:t>
      </w:r>
      <w:r w:rsidR="00215BA4">
        <w:t xml:space="preserve">to </w:t>
      </w:r>
      <w:r w:rsidR="00E358EE">
        <w:t>February 2024,</w:t>
      </w:r>
      <w:r w:rsidR="00B3115C">
        <w:t xml:space="preserve"> 39 </w:t>
      </w:r>
      <w:r w:rsidR="0067021F">
        <w:t>research studies</w:t>
      </w:r>
      <w:r w:rsidR="000070A1">
        <w:t xml:space="preserve"> on Covid-19 vaccines</w:t>
      </w:r>
      <w:r w:rsidR="0067021F">
        <w:t xml:space="preserve"> </w:t>
      </w:r>
      <w:r w:rsidR="00B3115C">
        <w:t xml:space="preserve">have </w:t>
      </w:r>
      <w:r w:rsidR="00215BA4">
        <w:t xml:space="preserve">employed different </w:t>
      </w:r>
      <w:r w:rsidR="007A0FD8">
        <w:t>types</w:t>
      </w:r>
      <w:r w:rsidR="00215BA4">
        <w:t xml:space="preserve"> of this bias, with variants in</w:t>
      </w:r>
      <w:r w:rsidR="00F666DB">
        <w:t xml:space="preserve">cluding </w:t>
      </w:r>
      <w:r w:rsidR="002A4278">
        <w:t xml:space="preserve">straightforward </w:t>
      </w:r>
      <w:r w:rsidR="00F666DB">
        <w:t xml:space="preserve">miscategorisation </w:t>
      </w:r>
      <w:r w:rsidR="002A4278">
        <w:t>from one category to another</w:t>
      </w:r>
      <w:r w:rsidR="00F666DB">
        <w:t xml:space="preserve">, </w:t>
      </w:r>
      <w:r w:rsidR="002A4278">
        <w:t xml:space="preserve">miscategorising the vaccinated as having </w:t>
      </w:r>
      <w:r w:rsidR="00F666DB">
        <w:t>unverified</w:t>
      </w:r>
      <w:r w:rsidR="002A4278">
        <w:t xml:space="preserve"> vaccination</w:t>
      </w:r>
      <w:r w:rsidR="00F666DB">
        <w:t xml:space="preserve"> </w:t>
      </w:r>
      <w:r w:rsidR="009732F1">
        <w:t>status</w:t>
      </w:r>
      <w:r w:rsidR="00F666DB">
        <w:t xml:space="preserve">, </w:t>
      </w:r>
      <w:r w:rsidR="00F666DB">
        <w:lastRenderedPageBreak/>
        <w:t>uncontrolled reporting</w:t>
      </w:r>
      <w:r w:rsidR="009732F1">
        <w:t xml:space="preserve"> of </w:t>
      </w:r>
      <w:r w:rsidR="002A4278">
        <w:t xml:space="preserve">vaccination </w:t>
      </w:r>
      <w:r w:rsidR="009732F1">
        <w:t>status and excluding those vaccinated</w:t>
      </w:r>
      <w:r w:rsidR="0056536E">
        <w:t xml:space="preserve"> from the study. </w:t>
      </w:r>
      <w:r w:rsidR="00285DBE">
        <w:t>Many</w:t>
      </w:r>
      <w:r w:rsidR="0067021F">
        <w:t xml:space="preserve"> of the studies have applied one or more of these </w:t>
      </w:r>
      <w:r w:rsidR="0056536E">
        <w:t>biases</w:t>
      </w:r>
      <w:r w:rsidR="0067021F">
        <w:t xml:space="preserve"> within time periods from one week to three</w:t>
      </w:r>
      <w:r w:rsidR="00215BA4">
        <w:t xml:space="preserve">. </w:t>
      </w:r>
    </w:p>
    <w:p w14:paraId="4B61A184" w14:textId="77777777" w:rsidR="00767B69" w:rsidRDefault="00767B69" w:rsidP="006306A0"/>
    <w:p w14:paraId="754A59C9" w14:textId="6D031948" w:rsidR="3187830C" w:rsidRDefault="00767B69" w:rsidP="006306A0">
      <w:r>
        <w:t>O</w:t>
      </w:r>
      <w:r w:rsidR="0067021F">
        <w:t xml:space="preserve">ur simulation </w:t>
      </w:r>
      <w:r>
        <w:t>model</w:t>
      </w:r>
      <w:r w:rsidR="0067021F">
        <w:t xml:space="preserve"> demonstrated that</w:t>
      </w:r>
      <w:r w:rsidR="0056536E">
        <w:t xml:space="preserve"> </w:t>
      </w:r>
      <w:r w:rsidR="0067021F">
        <w:t>this selection bias artificially boost</w:t>
      </w:r>
      <w:r w:rsidR="0056536E">
        <w:t>s</w:t>
      </w:r>
      <w:r w:rsidR="0067021F">
        <w:t xml:space="preserve"> vaccine efficacy </w:t>
      </w:r>
      <w:r w:rsidR="000B04D9">
        <w:t xml:space="preserve">in all cases, and with the application of repeated ‘booster’ vaccinations, the efficacy of </w:t>
      </w:r>
      <w:r w:rsidR="008B3CAE">
        <w:t xml:space="preserve">repeated </w:t>
      </w:r>
      <w:r w:rsidR="00F033FE">
        <w:t xml:space="preserve">Covid-19 </w:t>
      </w:r>
      <w:r w:rsidR="008B3CAE">
        <w:t xml:space="preserve">vaccines could be maintained at </w:t>
      </w:r>
      <w:r w:rsidR="00CB3E8C">
        <w:t>artificial</w:t>
      </w:r>
      <w:r w:rsidR="0056536E">
        <w:t>ly</w:t>
      </w:r>
      <w:r w:rsidR="008B3CAE">
        <w:t xml:space="preserve"> </w:t>
      </w:r>
      <w:r w:rsidR="0056536E">
        <w:t xml:space="preserve">high </w:t>
      </w:r>
      <w:r w:rsidR="008B3CAE">
        <w:t>levels in perpetuity</w:t>
      </w:r>
      <w:r w:rsidR="00CB3E8C">
        <w:t>.</w:t>
      </w:r>
      <w:r w:rsidR="00EB498A">
        <w:t xml:space="preserve"> Furthermore</w:t>
      </w:r>
      <w:r w:rsidR="007A0B06">
        <w:t xml:space="preserve">, in tandem with this the infection rate </w:t>
      </w:r>
      <w:r w:rsidR="00AC1B68">
        <w:t>would</w:t>
      </w:r>
      <w:r w:rsidR="002826B6">
        <w:t xml:space="preserve"> likewise </w:t>
      </w:r>
      <w:r w:rsidR="00AC1B68">
        <w:t xml:space="preserve">be </w:t>
      </w:r>
      <w:r w:rsidR="002826B6">
        <w:t xml:space="preserve">artificially elevated </w:t>
      </w:r>
      <w:r w:rsidR="00AC1B68">
        <w:t>and would be lower for</w:t>
      </w:r>
      <w:r w:rsidR="002826B6">
        <w:t xml:space="preserve"> the unvaccinated</w:t>
      </w:r>
      <w:r w:rsidR="00351B1A">
        <w:t xml:space="preserve"> cohort</w:t>
      </w:r>
      <w:r w:rsidR="002826B6">
        <w:t xml:space="preserve"> compared to the vaccinated</w:t>
      </w:r>
      <w:r w:rsidR="00351B1A">
        <w:t xml:space="preserve"> cohort, further compound</w:t>
      </w:r>
      <w:r w:rsidR="00AC1B68">
        <w:t>ing</w:t>
      </w:r>
      <w:r w:rsidR="00351B1A">
        <w:t xml:space="preserve"> </w:t>
      </w:r>
      <w:r w:rsidR="00AE7D18">
        <w:t>misleading</w:t>
      </w:r>
      <w:r w:rsidR="00351B1A">
        <w:t xml:space="preserve"> claims that a </w:t>
      </w:r>
      <w:r w:rsidR="00AC1B68">
        <w:t>C</w:t>
      </w:r>
      <w:r w:rsidR="00351B1A">
        <w:t>ovid</w:t>
      </w:r>
      <w:r w:rsidR="00AC1B68">
        <w:t>-</w:t>
      </w:r>
      <w:r w:rsidR="00351B1A">
        <w:t>19 vaccine reduc</w:t>
      </w:r>
      <w:r>
        <w:t>es</w:t>
      </w:r>
      <w:r w:rsidR="00351B1A">
        <w:t xml:space="preserve"> infecti</w:t>
      </w:r>
      <w:r>
        <w:t>on rates</w:t>
      </w:r>
      <w:r w:rsidR="00E57D19">
        <w:t xml:space="preserve"> when it does not</w:t>
      </w:r>
      <w:r w:rsidR="002826B6">
        <w:t xml:space="preserve">. </w:t>
      </w:r>
    </w:p>
    <w:p w14:paraId="6CED4A59" w14:textId="4BE27D4D" w:rsidR="3187830C" w:rsidRDefault="3187830C" w:rsidP="006306A0"/>
    <w:p w14:paraId="5A17D266" w14:textId="1E4D53D1" w:rsidR="3187830C" w:rsidRDefault="3187830C" w:rsidP="006306A0">
      <w:pPr>
        <w:spacing w:line="259" w:lineRule="auto"/>
      </w:pPr>
      <w:r>
        <w:t xml:space="preserve">The paper is structured as follows: In Section 2 we review the work on biases in </w:t>
      </w:r>
      <w:r w:rsidR="00F033FE">
        <w:t xml:space="preserve">Covid-19 </w:t>
      </w:r>
      <w:r>
        <w:t xml:space="preserve">vaccine studies. In Section 3 we describe the search method by which relevant studies were selected. In Section 4 we classify each of the relevant studies according to novel </w:t>
      </w:r>
      <w:r w:rsidR="002E2663">
        <w:t>types</w:t>
      </w:r>
      <w:r>
        <w:t xml:space="preserve"> of miscategorisation selection biases exhibited. In Section 5 we simulate the vaccine efficacy results that would be observed during peak rollout of both a placebo and negative efficacy vaccine under the various selection biases</w:t>
      </w:r>
      <w:r w:rsidR="002E2663">
        <w:t>.</w:t>
      </w:r>
      <w:r>
        <w:t xml:space="preserve"> </w:t>
      </w:r>
      <w:r w:rsidR="00283517">
        <w:t>Section 6 offers our conclusions.</w:t>
      </w:r>
    </w:p>
    <w:p w14:paraId="1FBCC097" w14:textId="77777777" w:rsidR="00E05FC4" w:rsidRDefault="00E05FC4" w:rsidP="00E05FC4">
      <w:pPr>
        <w:pStyle w:val="Heading1"/>
      </w:pPr>
      <w:r>
        <w:t>2. Background</w:t>
      </w:r>
    </w:p>
    <w:p w14:paraId="3E5644A4" w14:textId="664CAF21" w:rsidR="00E05FC4" w:rsidRPr="006306A0" w:rsidRDefault="3187830C" w:rsidP="00E05FC4">
      <w:r w:rsidRPr="006306A0">
        <w:t xml:space="preserve">Several studies have investigated bias in </w:t>
      </w:r>
      <w:r w:rsidR="00F033FE">
        <w:t xml:space="preserve">Covid-19 </w:t>
      </w:r>
      <w:r w:rsidRPr="006306A0">
        <w:t xml:space="preserve">vaccine studies, including: (i) </w:t>
      </w:r>
      <w:r w:rsidRPr="006306A0">
        <w:rPr>
          <w:i/>
          <w:iCs/>
        </w:rPr>
        <w:t>outcome reporting bias</w:t>
      </w:r>
      <w:r w:rsidRPr="006306A0">
        <w:t xml:space="preserve"> affecting interpretation of vaccine efficacy where studies report relative risk reduction (RRR) rather than actual risk reduction (ARR) (Brown, 2021); </w:t>
      </w:r>
      <w:r w:rsidRPr="006306A0">
        <w:rPr>
          <w:i/>
          <w:iCs/>
        </w:rPr>
        <w:t>confounding bias</w:t>
      </w:r>
      <w:r w:rsidRPr="006306A0">
        <w:t xml:space="preserve"> in test-negative studies where other acute respiratory infections (ARI) are assumed to occur or be independent to </w:t>
      </w:r>
      <w:r w:rsidR="00F033FE">
        <w:t xml:space="preserve">Covid-19 </w:t>
      </w:r>
      <w:r w:rsidRPr="006306A0">
        <w:t xml:space="preserve">(Doll et al, 2022),  where authors promote the use of recently vaccinated individuals as a negative control (Hitchings et al, 2022), due to imperfect sensitivity and/or specificity of the test used to diagnose the disease (Eusebi et al, 2023; Williams et al, 2022); </w:t>
      </w:r>
      <w:r w:rsidRPr="006306A0">
        <w:rPr>
          <w:i/>
          <w:iCs/>
        </w:rPr>
        <w:t xml:space="preserve">state bias </w:t>
      </w:r>
      <w:r w:rsidRPr="006306A0">
        <w:t xml:space="preserve">wherein limited uptake, or vaccine hesitancy, is said to occur because the general public prefer domestically produced vaccines over foreign-made (Kobayashi et al, 2021) and alternatively, </w:t>
      </w:r>
      <w:r w:rsidRPr="006306A0">
        <w:rPr>
          <w:i/>
          <w:iCs/>
        </w:rPr>
        <w:t>confirmation bias</w:t>
      </w:r>
      <w:r w:rsidRPr="006306A0">
        <w:t xml:space="preserve"> that causes people to disregard public information and results in the same hesitancy (Malthouse, 2023); </w:t>
      </w:r>
      <w:r w:rsidR="006306A0" w:rsidRPr="006306A0">
        <w:rPr>
          <w:i/>
          <w:iCs/>
        </w:rPr>
        <w:t>self-selection</w:t>
      </w:r>
      <w:r w:rsidRPr="006306A0">
        <w:rPr>
          <w:i/>
          <w:iCs/>
        </w:rPr>
        <w:t xml:space="preserve"> bias </w:t>
      </w:r>
      <w:r w:rsidRPr="006306A0">
        <w:t>where participants who have been vaccinated are more likely to also willingly present for swab collection and testing (</w:t>
      </w:r>
      <w:proofErr w:type="spellStart"/>
      <w:r w:rsidRPr="006306A0">
        <w:t>Glasziou</w:t>
      </w:r>
      <w:proofErr w:type="spellEnd"/>
      <w:r w:rsidRPr="006306A0">
        <w:t xml:space="preserve"> et al, 2022); and </w:t>
      </w:r>
      <w:r w:rsidRPr="006306A0">
        <w:rPr>
          <w:i/>
          <w:iCs/>
        </w:rPr>
        <w:t xml:space="preserve">collider stratification bias </w:t>
      </w:r>
      <w:r w:rsidRPr="006306A0">
        <w:t xml:space="preserve">where rather than the usual approach of reporting the </w:t>
      </w:r>
      <w:r w:rsidRPr="006306A0">
        <w:rPr>
          <w:i/>
          <w:iCs/>
        </w:rPr>
        <w:t>relative risk of the disease</w:t>
      </w:r>
      <w:r w:rsidRPr="006306A0">
        <w:t xml:space="preserve">, Covid-19, test-negative studies use the recently created alternative approach of reporting the </w:t>
      </w:r>
      <w:r w:rsidRPr="006306A0">
        <w:rPr>
          <w:i/>
          <w:iCs/>
        </w:rPr>
        <w:t>relative risk of infection</w:t>
      </w:r>
      <w:r w:rsidRPr="006306A0">
        <w:t xml:space="preserve"> given a second variable, vaccination (Ortiz-Brizuela et al, 2023). The studies discussed </w:t>
      </w:r>
      <w:r w:rsidR="002E2663">
        <w:t xml:space="preserve">here </w:t>
      </w:r>
      <w:r w:rsidRPr="006306A0">
        <w:t xml:space="preserve">are approximately evenly divided between those that report biases that have exaggerated factors of vaccine safety and efficacy, and those reporting biases have negatively impacted assessment of these factors and resulting public perception. </w:t>
      </w:r>
    </w:p>
    <w:p w14:paraId="6E87834A" w14:textId="509B9DB7" w:rsidR="3187830C" w:rsidRDefault="3187830C"/>
    <w:p w14:paraId="2EEA4700" w14:textId="5B8DB8F1" w:rsidR="00E317B2" w:rsidRDefault="00761D40" w:rsidP="3187830C">
      <w:r>
        <w:t>W</w:t>
      </w:r>
      <w:r w:rsidR="3187830C">
        <w:t>e focus explicitly on miscategorisation selection biases, which inevitably exaggerat</w:t>
      </w:r>
      <w:r>
        <w:t>e</w:t>
      </w:r>
      <w:r w:rsidR="3187830C">
        <w:t xml:space="preserve"> vaccine efficacy.  We identify five types of such bias (defined in detail in Section 4), namely: (i) </w:t>
      </w:r>
      <w:r w:rsidR="3187830C" w:rsidRPr="3187830C">
        <w:rPr>
          <w:i/>
          <w:iCs/>
        </w:rPr>
        <w:t xml:space="preserve">Miscategorisation </w:t>
      </w:r>
      <w:r w:rsidR="3187830C">
        <w:t xml:space="preserve">(the type most closely associated with the </w:t>
      </w:r>
      <w:r w:rsidR="00F32D93">
        <w:t>miscategorisation selection bias</w:t>
      </w:r>
      <w:r w:rsidR="3187830C">
        <w:t xml:space="preserve">); (ii) </w:t>
      </w:r>
      <w:r w:rsidR="3187830C" w:rsidRPr="3187830C">
        <w:rPr>
          <w:i/>
          <w:iCs/>
        </w:rPr>
        <w:t>Unverified</w:t>
      </w:r>
      <w:r w:rsidR="3187830C">
        <w:t xml:space="preserve">; (iii) </w:t>
      </w:r>
      <w:r w:rsidR="3187830C" w:rsidRPr="3187830C">
        <w:rPr>
          <w:i/>
          <w:iCs/>
        </w:rPr>
        <w:t>Uncontrolled</w:t>
      </w:r>
      <w:r w:rsidR="3187830C">
        <w:t xml:space="preserve">; (iv) </w:t>
      </w:r>
      <w:r w:rsidR="3187830C" w:rsidRPr="3187830C">
        <w:rPr>
          <w:i/>
          <w:iCs/>
        </w:rPr>
        <w:t>Excluded</w:t>
      </w:r>
      <w:r w:rsidR="3187830C">
        <w:t xml:space="preserve">; and (v) </w:t>
      </w:r>
      <w:r w:rsidR="3187830C" w:rsidRPr="3187830C">
        <w:rPr>
          <w:i/>
          <w:iCs/>
        </w:rPr>
        <w:t xml:space="preserve">Undefined.  </w:t>
      </w:r>
      <w:r w:rsidR="3187830C" w:rsidRPr="3187830C">
        <w:t xml:space="preserve">Previous work (Ioannidis, 2021; Fung, Jones &amp; Doshi, 2023, </w:t>
      </w:r>
      <w:proofErr w:type="spellStart"/>
      <w:r w:rsidR="3187830C" w:rsidRPr="3187830C">
        <w:t>Lataster</w:t>
      </w:r>
      <w:proofErr w:type="spellEnd"/>
      <w:r w:rsidR="3187830C" w:rsidRPr="3187830C">
        <w:t xml:space="preserve"> 2024) has largely focused only on miscategorisation, so our review is novel as well as more extensive than previous work. Ioannidis (2021) considers miscategorisation in terms of vaccination self-reporting by participants, the need for investigators to provide definitions for what it means to be vaccinated and whether categorisation as vaccinated occurs immediately after vaccination or after some period, and they discuss the possibility for these definitions to themselves cause miscategorisation of vaccination status. Fung et al (2023) examine this issue in terms of a case-counting window bias, in which investigators do not begin counting cases in the </w:t>
      </w:r>
      <w:r w:rsidR="3187830C" w:rsidRPr="3187830C">
        <w:rPr>
          <w:i/>
          <w:iCs/>
        </w:rPr>
        <w:t xml:space="preserve">fully vaccinated </w:t>
      </w:r>
      <w:r w:rsidR="3187830C">
        <w:t xml:space="preserve">until the arbitrary period after vaccination had passed. They also found that investigators could apply this period to both the vaccine and placebo arms of their study, or to the vaccine group alone.   </w:t>
      </w:r>
    </w:p>
    <w:p w14:paraId="62FB413E" w14:textId="77777777" w:rsidR="00E05FC4" w:rsidRDefault="001D1179" w:rsidP="001D1179">
      <w:pPr>
        <w:pStyle w:val="Heading1"/>
      </w:pPr>
      <w:r>
        <w:t>3. Method</w:t>
      </w:r>
    </w:p>
    <w:p w14:paraId="5C02C316" w14:textId="35FBBAA6" w:rsidR="001D1179" w:rsidRDefault="001D1179" w:rsidP="00E05FC4">
      <w:pPr>
        <w:rPr>
          <w:szCs w:val="20"/>
        </w:rPr>
      </w:pPr>
      <w:r>
        <w:rPr>
          <w:szCs w:val="20"/>
        </w:rPr>
        <w:t>A search was conducted</w:t>
      </w:r>
      <w:r w:rsidRPr="001D1179">
        <w:rPr>
          <w:szCs w:val="20"/>
        </w:rPr>
        <w:t xml:space="preserve"> </w:t>
      </w:r>
      <w:r>
        <w:rPr>
          <w:szCs w:val="20"/>
        </w:rPr>
        <w:t xml:space="preserve">of PubMed and Scopus seeking literature presenting either a retrospective health records or prospective clinical trial of one or more </w:t>
      </w:r>
      <w:r w:rsidR="00F033FE">
        <w:rPr>
          <w:szCs w:val="20"/>
        </w:rPr>
        <w:t xml:space="preserve">Covid-19 </w:t>
      </w:r>
      <w:r>
        <w:rPr>
          <w:szCs w:val="20"/>
        </w:rPr>
        <w:t>vaccines with efficacy or safety as an endpoint. The search term used was:</w:t>
      </w:r>
    </w:p>
    <w:p w14:paraId="7102FB7B" w14:textId="77777777" w:rsidR="001D1179" w:rsidRDefault="001D1179" w:rsidP="00E05FC4">
      <w:pPr>
        <w:rPr>
          <w:szCs w:val="20"/>
        </w:rPr>
      </w:pPr>
    </w:p>
    <w:p w14:paraId="1A768B62" w14:textId="77777777" w:rsidR="001D1179" w:rsidRPr="001D1179" w:rsidRDefault="001D1179" w:rsidP="001D1179">
      <w:pPr>
        <w:jc w:val="center"/>
        <w:rPr>
          <w:rFonts w:ascii="Lucida Console" w:hAnsi="Lucida Console"/>
          <w:szCs w:val="20"/>
        </w:rPr>
      </w:pPr>
      <w:r w:rsidRPr="001D1179">
        <w:rPr>
          <w:rFonts w:ascii="Lucida Console" w:hAnsi="Lucida Console"/>
          <w:szCs w:val="20"/>
        </w:rPr>
        <w:t>[covid] and [vaccine] and [efficacy] and [safety]</w:t>
      </w:r>
    </w:p>
    <w:p w14:paraId="50CDDF14" w14:textId="77777777" w:rsidR="001D1179" w:rsidRDefault="001D1179" w:rsidP="00E05FC4">
      <w:pPr>
        <w:rPr>
          <w:szCs w:val="20"/>
        </w:rPr>
      </w:pPr>
    </w:p>
    <w:p w14:paraId="04F3F01D" w14:textId="4A9BBD90" w:rsidR="00E05FC4" w:rsidRDefault="12B34A52" w:rsidP="12B34A52">
      <w:pPr>
        <w:rPr>
          <w:i/>
          <w:iCs/>
        </w:rPr>
      </w:pPr>
      <w:r>
        <w:lastRenderedPageBreak/>
        <w:t>The initial search returned 2,209 results. 476 Duplicates were removed, as well as 1,562 that while discussing or mentioning vaccines for Covid-19 did not present a study of vaccine efficacy or safety and 134 single-page works that were a mix of protocol disclosures and abstracts of results. Of the 37 remaining, 35 provided sufficient detail of the inclusion and exclusion criteria for inclusion in this study. A further 4 papers were identified through citation mining of included papers. Each paper was evaluated for a range of aspects that included the manufacturer and type of vaccine, the control cohort comparator (placebo or unvaccinated), the primary outcomes (prevention of infection, hospitalisation, ICU admission or death), the author’s potential conflicts of interest (declared and undeclared) and whether they included one or more types of miscategorisation selection bias. This work reports on the last of these factors.</w:t>
      </w:r>
    </w:p>
    <w:p w14:paraId="11BE4645" w14:textId="73D0898F" w:rsidR="00EB1519" w:rsidRDefault="3187830C" w:rsidP="3187830C">
      <w:pPr>
        <w:pStyle w:val="Heading1"/>
      </w:pPr>
      <w:r>
        <w:t>4.Types of miscategorisation selection bias</w:t>
      </w:r>
    </w:p>
    <w:p w14:paraId="4B9A7D43" w14:textId="24194E1A" w:rsidR="00E05FC4" w:rsidRDefault="00E05FC4" w:rsidP="00E05FC4">
      <w:pPr>
        <w:rPr>
          <w:szCs w:val="20"/>
        </w:rPr>
      </w:pPr>
      <w:r w:rsidRPr="00E05FC4">
        <w:rPr>
          <w:szCs w:val="20"/>
        </w:rPr>
        <w:t xml:space="preserve">Our review identified the following </w:t>
      </w:r>
      <w:r>
        <w:rPr>
          <w:szCs w:val="20"/>
        </w:rPr>
        <w:t>five</w:t>
      </w:r>
      <w:r w:rsidRPr="00E05FC4">
        <w:rPr>
          <w:szCs w:val="20"/>
        </w:rPr>
        <w:t xml:space="preserve"> </w:t>
      </w:r>
      <w:r w:rsidR="003252BF">
        <w:rPr>
          <w:szCs w:val="20"/>
        </w:rPr>
        <w:t>types</w:t>
      </w:r>
      <w:r>
        <w:rPr>
          <w:szCs w:val="20"/>
        </w:rPr>
        <w:t xml:space="preserve"> of the </w:t>
      </w:r>
      <w:r w:rsidR="00804204">
        <w:rPr>
          <w:szCs w:val="20"/>
        </w:rPr>
        <w:t>miscategorisation</w:t>
      </w:r>
      <w:r>
        <w:rPr>
          <w:szCs w:val="20"/>
        </w:rPr>
        <w:t xml:space="preserve"> selection bias:</w:t>
      </w:r>
    </w:p>
    <w:p w14:paraId="660FFAD7" w14:textId="77777777" w:rsidR="00FB042F" w:rsidRDefault="00FB042F" w:rsidP="00E05FC4">
      <w:pPr>
        <w:rPr>
          <w:szCs w:val="20"/>
        </w:rPr>
      </w:pPr>
    </w:p>
    <w:p w14:paraId="00C45606" w14:textId="57392651" w:rsidR="00E05FC4" w:rsidRPr="00E05FC4" w:rsidRDefault="3187830C" w:rsidP="3187830C">
      <w:pPr>
        <w:pStyle w:val="ListParagraph"/>
        <w:numPr>
          <w:ilvl w:val="0"/>
          <w:numId w:val="10"/>
        </w:numPr>
        <w:ind w:right="373"/>
        <w:rPr>
          <w:i/>
          <w:iCs/>
        </w:rPr>
      </w:pPr>
      <w:r w:rsidRPr="3187830C">
        <w:rPr>
          <w:i/>
          <w:iCs/>
        </w:rPr>
        <w:t>Miscategorisation:</w:t>
      </w:r>
      <w:r>
        <w:t xml:space="preserve"> During the arbitrarily defined period the vaccinated are categorised as unvaccinated, twice vaccinated categorised as single vaccinated, or boosted categorised as twice vaccinated (e.g.: Buchan et al, 2022; Stock et al, 2022)</w:t>
      </w:r>
      <w:r w:rsidR="00E26AD8">
        <w:t>.</w:t>
      </w:r>
    </w:p>
    <w:p w14:paraId="0724E020" w14:textId="6215DC78" w:rsidR="00E05FC4" w:rsidRDefault="00E05FC4" w:rsidP="00E05FC4">
      <w:pPr>
        <w:pStyle w:val="ListParagraph"/>
        <w:numPr>
          <w:ilvl w:val="0"/>
          <w:numId w:val="10"/>
        </w:numPr>
        <w:ind w:right="373"/>
        <w:rPr>
          <w:i/>
          <w:iCs/>
          <w:szCs w:val="20"/>
        </w:rPr>
      </w:pPr>
      <w:r>
        <w:rPr>
          <w:i/>
          <w:iCs/>
          <w:szCs w:val="20"/>
        </w:rPr>
        <w:t xml:space="preserve">Unverified: </w:t>
      </w:r>
      <w:r>
        <w:rPr>
          <w:szCs w:val="20"/>
        </w:rPr>
        <w:t>Participants whose va</w:t>
      </w:r>
      <w:r w:rsidR="000C5561">
        <w:rPr>
          <w:szCs w:val="20"/>
        </w:rPr>
        <w:t>c</w:t>
      </w:r>
      <w:r>
        <w:rPr>
          <w:szCs w:val="20"/>
        </w:rPr>
        <w:t xml:space="preserve">cination status is unknown or unverified are categorised as unvaccinated (e.g.: </w:t>
      </w:r>
      <w:r w:rsidR="00D95AF6">
        <w:rPr>
          <w:szCs w:val="20"/>
        </w:rPr>
        <w:t>Rosenberg et al, 2021; Lyngse et al, 2022b</w:t>
      </w:r>
      <w:r>
        <w:rPr>
          <w:szCs w:val="20"/>
        </w:rPr>
        <w:t>)</w:t>
      </w:r>
      <w:r w:rsidR="00E26AD8">
        <w:rPr>
          <w:szCs w:val="20"/>
        </w:rPr>
        <w:t>.</w:t>
      </w:r>
    </w:p>
    <w:p w14:paraId="2CB6EB18" w14:textId="59E63262" w:rsidR="00E05FC4" w:rsidRPr="00E05FC4" w:rsidRDefault="00E05FC4" w:rsidP="00E05FC4">
      <w:pPr>
        <w:pStyle w:val="ListParagraph"/>
        <w:numPr>
          <w:ilvl w:val="0"/>
          <w:numId w:val="10"/>
        </w:numPr>
        <w:ind w:right="373"/>
        <w:rPr>
          <w:i/>
          <w:iCs/>
          <w:szCs w:val="20"/>
        </w:rPr>
      </w:pPr>
      <w:r>
        <w:rPr>
          <w:i/>
          <w:iCs/>
          <w:szCs w:val="20"/>
        </w:rPr>
        <w:t xml:space="preserve">Uncontrolled: </w:t>
      </w:r>
      <w:r>
        <w:rPr>
          <w:szCs w:val="20"/>
        </w:rPr>
        <w:t xml:space="preserve">Participants are allowed to self-administer or self-report their vaccination </w:t>
      </w:r>
      <w:r w:rsidR="0056452E">
        <w:rPr>
          <w:szCs w:val="20"/>
        </w:rPr>
        <w:t xml:space="preserve">or infection status, became unblinded or sought vaccination outside the study </w:t>
      </w:r>
      <w:r>
        <w:rPr>
          <w:szCs w:val="20"/>
        </w:rPr>
        <w:t xml:space="preserve">(e.g.: </w:t>
      </w:r>
      <w:r w:rsidR="00D95AF6">
        <w:rPr>
          <w:szCs w:val="20"/>
        </w:rPr>
        <w:t>Angel et al, 2021; Wu et al, 2023</w:t>
      </w:r>
      <w:r>
        <w:rPr>
          <w:szCs w:val="20"/>
        </w:rPr>
        <w:t>)</w:t>
      </w:r>
      <w:r w:rsidR="00E26AD8">
        <w:rPr>
          <w:szCs w:val="20"/>
        </w:rPr>
        <w:t>.</w:t>
      </w:r>
    </w:p>
    <w:p w14:paraId="0065B0EE" w14:textId="77777777" w:rsidR="00E05FC4" w:rsidRPr="00E05FC4" w:rsidRDefault="00E05FC4" w:rsidP="00E05FC4">
      <w:pPr>
        <w:pStyle w:val="ListParagraph"/>
        <w:numPr>
          <w:ilvl w:val="0"/>
          <w:numId w:val="10"/>
        </w:numPr>
        <w:ind w:right="373"/>
        <w:rPr>
          <w:i/>
          <w:iCs/>
          <w:szCs w:val="20"/>
        </w:rPr>
      </w:pPr>
      <w:r>
        <w:rPr>
          <w:i/>
          <w:iCs/>
          <w:szCs w:val="20"/>
        </w:rPr>
        <w:t xml:space="preserve">Excluded: </w:t>
      </w:r>
      <w:r>
        <w:rPr>
          <w:szCs w:val="20"/>
        </w:rPr>
        <w:t xml:space="preserve">Participants who are vaccinated but who become infected </w:t>
      </w:r>
      <w:r w:rsidR="0056452E">
        <w:rPr>
          <w:szCs w:val="20"/>
        </w:rPr>
        <w:t xml:space="preserve">or died </w:t>
      </w:r>
      <w:r>
        <w:rPr>
          <w:szCs w:val="20"/>
        </w:rPr>
        <w:t xml:space="preserve">during the arbitrarily defined period are neither categorised as unvaccinated or vaccinated but are instead simply removed from analysis (e.g.: </w:t>
      </w:r>
      <w:proofErr w:type="spellStart"/>
      <w:r w:rsidR="00D95AF6">
        <w:rPr>
          <w:szCs w:val="20"/>
        </w:rPr>
        <w:t>Tabarsi</w:t>
      </w:r>
      <w:proofErr w:type="spellEnd"/>
      <w:r w:rsidR="00D95AF6">
        <w:rPr>
          <w:szCs w:val="20"/>
        </w:rPr>
        <w:t xml:space="preserve"> et al, 2023; Heath et al, 2023</w:t>
      </w:r>
      <w:r>
        <w:rPr>
          <w:szCs w:val="20"/>
        </w:rPr>
        <w:t>);</w:t>
      </w:r>
    </w:p>
    <w:p w14:paraId="584154F1" w14:textId="32BF1DAF" w:rsidR="00E05FC4" w:rsidRPr="00E05FC4" w:rsidRDefault="00E05FC4" w:rsidP="00E05FC4">
      <w:pPr>
        <w:pStyle w:val="ListParagraph"/>
        <w:numPr>
          <w:ilvl w:val="0"/>
          <w:numId w:val="10"/>
        </w:numPr>
        <w:ind w:right="373"/>
        <w:rPr>
          <w:i/>
          <w:iCs/>
          <w:szCs w:val="20"/>
        </w:rPr>
      </w:pPr>
      <w:r>
        <w:rPr>
          <w:i/>
          <w:iCs/>
          <w:szCs w:val="20"/>
        </w:rPr>
        <w:t xml:space="preserve">Undefined: </w:t>
      </w:r>
      <w:r>
        <w:rPr>
          <w:szCs w:val="20"/>
        </w:rPr>
        <w:t xml:space="preserve">The authors of the study fail to provide definitions for either or </w:t>
      </w:r>
      <w:r w:rsidR="00E26AD8">
        <w:rPr>
          <w:szCs w:val="20"/>
        </w:rPr>
        <w:t>both vaccinated</w:t>
      </w:r>
      <w:r>
        <w:rPr>
          <w:szCs w:val="20"/>
        </w:rPr>
        <w:t xml:space="preserve"> and unvaccinated cohorts (e.g.: </w:t>
      </w:r>
      <w:r w:rsidR="00D95AF6">
        <w:rPr>
          <w:szCs w:val="20"/>
        </w:rPr>
        <w:t>Bermingham et al, 2023b; Nordstrom et al, 2022</w:t>
      </w:r>
      <w:r>
        <w:rPr>
          <w:szCs w:val="20"/>
        </w:rPr>
        <w:t>)</w:t>
      </w:r>
      <w:r w:rsidR="00E26AD8">
        <w:rPr>
          <w:szCs w:val="20"/>
        </w:rPr>
        <w:t>.</w:t>
      </w:r>
    </w:p>
    <w:p w14:paraId="5D6485C4" w14:textId="77777777" w:rsidR="00E05FC4" w:rsidRDefault="00E05FC4" w:rsidP="00525275">
      <w:pPr>
        <w:rPr>
          <w:szCs w:val="20"/>
        </w:rPr>
      </w:pPr>
    </w:p>
    <w:p w14:paraId="537BA676" w14:textId="54F5E8BF" w:rsidR="00E223AC" w:rsidRPr="00183E37" w:rsidRDefault="3187830C" w:rsidP="00525275">
      <w:r>
        <w:t xml:space="preserve">Table 1 </w:t>
      </w:r>
      <w:r w:rsidR="00E26AD8">
        <w:t>lists</w:t>
      </w:r>
      <w:r>
        <w:t xml:space="preserve"> the incidence and frequency of use for each </w:t>
      </w:r>
      <w:r w:rsidR="003252BF">
        <w:t>type</w:t>
      </w:r>
      <w:r w:rsidR="00B05BAD">
        <w:t xml:space="preserve"> of miscategorisation selection bias</w:t>
      </w:r>
      <w:r w:rsidR="00CD3C3F">
        <w:t xml:space="preserve"> in </w:t>
      </w:r>
      <w:r w:rsidR="00E26AD8">
        <w:t xml:space="preserve">Covid-19 vaccine effectiveness </w:t>
      </w:r>
      <w:r w:rsidR="000A412C">
        <w:t>research studies</w:t>
      </w:r>
      <w:r>
        <w:t>. Use of the arbitrary miscategorisation type was ubiquitous, identified in 100% of the reviewed studies. Further, nearly one-third (31%) also used one or more of the other</w:t>
      </w:r>
      <w:r w:rsidR="006306A0">
        <w:t xml:space="preserve"> </w:t>
      </w:r>
      <w:r w:rsidR="007A0FD8">
        <w:t>types</w:t>
      </w:r>
      <w:r w:rsidR="006306A0">
        <w:t xml:space="preserve"> of bias</w:t>
      </w:r>
      <w:r>
        <w:t>.</w:t>
      </w:r>
    </w:p>
    <w:p w14:paraId="49ADECA9" w14:textId="77777777" w:rsidR="00E223AC" w:rsidRPr="00521AF2" w:rsidRDefault="00E223AC" w:rsidP="00525275">
      <w:pPr>
        <w:rPr>
          <w:sz w:val="16"/>
          <w:szCs w:val="16"/>
        </w:rPr>
      </w:pPr>
    </w:p>
    <w:p w14:paraId="590711ED" w14:textId="7790F027" w:rsidR="00521AF2" w:rsidRPr="00521AF2" w:rsidRDefault="006D0096" w:rsidP="006D0096">
      <w:pPr>
        <w:jc w:val="center"/>
        <w:rPr>
          <w:b/>
          <w:bCs/>
          <w:sz w:val="16"/>
          <w:szCs w:val="16"/>
        </w:rPr>
      </w:pPr>
      <w:r w:rsidRPr="00521AF2">
        <w:rPr>
          <w:b/>
          <w:bCs/>
          <w:sz w:val="16"/>
          <w:szCs w:val="16"/>
        </w:rPr>
        <w:t>Table 1</w:t>
      </w:r>
      <w:r w:rsidR="00CD3C3F">
        <w:rPr>
          <w:b/>
          <w:bCs/>
          <w:sz w:val="16"/>
          <w:szCs w:val="16"/>
        </w:rPr>
        <w:t xml:space="preserve"> R</w:t>
      </w:r>
      <w:r w:rsidR="00B05BAD" w:rsidRPr="00521AF2">
        <w:rPr>
          <w:b/>
          <w:bCs/>
          <w:sz w:val="16"/>
          <w:szCs w:val="16"/>
        </w:rPr>
        <w:t>e</w:t>
      </w:r>
      <w:r w:rsidRPr="00521AF2">
        <w:rPr>
          <w:b/>
          <w:bCs/>
          <w:sz w:val="16"/>
          <w:szCs w:val="16"/>
        </w:rPr>
        <w:t xml:space="preserve">search </w:t>
      </w:r>
      <w:r w:rsidR="00CD3C3F">
        <w:rPr>
          <w:b/>
          <w:bCs/>
          <w:sz w:val="16"/>
          <w:szCs w:val="16"/>
        </w:rPr>
        <w:t>studies</w:t>
      </w:r>
      <w:r w:rsidRPr="00521AF2">
        <w:rPr>
          <w:b/>
          <w:bCs/>
          <w:sz w:val="16"/>
          <w:szCs w:val="16"/>
        </w:rPr>
        <w:t xml:space="preserve"> containing miscategorisation</w:t>
      </w:r>
    </w:p>
    <w:p w14:paraId="303FC333" w14:textId="71655F54" w:rsidR="006D0096" w:rsidRPr="00521AF2" w:rsidRDefault="006D0096" w:rsidP="006D0096">
      <w:pPr>
        <w:jc w:val="center"/>
        <w:rPr>
          <w:b/>
          <w:bCs/>
          <w:sz w:val="16"/>
          <w:szCs w:val="16"/>
        </w:rPr>
      </w:pPr>
      <w:r w:rsidRPr="00521AF2">
        <w:rPr>
          <w:b/>
          <w:bCs/>
          <w:sz w:val="16"/>
          <w:szCs w:val="16"/>
        </w:rPr>
        <w:t>selection bias</w:t>
      </w:r>
      <w:r w:rsidR="00521AF2" w:rsidRPr="00521AF2">
        <w:rPr>
          <w:b/>
          <w:bCs/>
          <w:sz w:val="16"/>
          <w:szCs w:val="16"/>
        </w:rPr>
        <w:t xml:space="preserve"> (see appendix for full citation list)</w:t>
      </w:r>
    </w:p>
    <w:tbl>
      <w:tblPr>
        <w:tblStyle w:val="TableGrid"/>
        <w:tblW w:w="7080" w:type="dxa"/>
        <w:jc w:val="center"/>
        <w:tblLayout w:type="fixed"/>
        <w:tblLook w:val="04A0" w:firstRow="1" w:lastRow="0" w:firstColumn="1" w:lastColumn="0" w:noHBand="0" w:noVBand="1"/>
      </w:tblPr>
      <w:tblGrid>
        <w:gridCol w:w="2475"/>
        <w:gridCol w:w="495"/>
        <w:gridCol w:w="510"/>
        <w:gridCol w:w="480"/>
        <w:gridCol w:w="495"/>
        <w:gridCol w:w="495"/>
        <w:gridCol w:w="2130"/>
      </w:tblGrid>
      <w:tr w:rsidR="52EC8D6E" w14:paraId="6107ACCE"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4138E6E" w14:textId="024AF2E4" w:rsidR="52EC8D6E" w:rsidRDefault="52EC8D6E" w:rsidP="52EC8D6E">
            <w:pPr>
              <w:ind w:left="-20" w:right="-20"/>
            </w:pPr>
            <w:r w:rsidRPr="52EC8D6E">
              <w:rPr>
                <w:b/>
                <w:bCs/>
                <w:szCs w:val="20"/>
              </w:rPr>
              <w:t>Citation</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E957423" w14:textId="39BF7AEF" w:rsidR="52EC8D6E" w:rsidRDefault="52EC8D6E" w:rsidP="52EC8D6E">
            <w:pPr>
              <w:ind w:left="-20" w:right="-20"/>
              <w:jc w:val="center"/>
            </w:pPr>
            <w:r w:rsidRPr="52EC8D6E">
              <w:rPr>
                <w:b/>
                <w:bCs/>
                <w:szCs w:val="20"/>
              </w:rPr>
              <w:t>(a)</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5C996F8" w14:textId="4B2D47D7" w:rsidR="52EC8D6E" w:rsidRDefault="52EC8D6E" w:rsidP="52EC8D6E">
            <w:pPr>
              <w:ind w:left="-20" w:right="-20"/>
              <w:jc w:val="center"/>
            </w:pPr>
            <w:r w:rsidRPr="52EC8D6E">
              <w:rPr>
                <w:b/>
                <w:bCs/>
                <w:szCs w:val="20"/>
              </w:rPr>
              <w:t>(b)</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4BA96A07" w14:textId="3FACB896" w:rsidR="52EC8D6E" w:rsidRDefault="52EC8D6E" w:rsidP="52EC8D6E">
            <w:pPr>
              <w:ind w:left="-20" w:right="-20"/>
              <w:jc w:val="center"/>
            </w:pPr>
            <w:r w:rsidRPr="52EC8D6E">
              <w:rPr>
                <w:b/>
                <w:bCs/>
                <w:szCs w:val="20"/>
              </w:rPr>
              <w:t>(c)</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7BCDE1A" w14:textId="2431CAE0" w:rsidR="52EC8D6E" w:rsidRDefault="52EC8D6E" w:rsidP="52EC8D6E">
            <w:pPr>
              <w:ind w:left="-20" w:right="-20"/>
              <w:jc w:val="center"/>
            </w:pPr>
            <w:r w:rsidRPr="52EC8D6E">
              <w:rPr>
                <w:b/>
                <w:bCs/>
                <w:szCs w:val="20"/>
              </w:rPr>
              <w:t>(d)</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0794CF0E" w14:textId="2186279D" w:rsidR="52EC8D6E" w:rsidRDefault="52EC8D6E" w:rsidP="52EC8D6E">
            <w:pPr>
              <w:ind w:left="-20" w:right="-20"/>
              <w:jc w:val="center"/>
            </w:pPr>
            <w:r w:rsidRPr="52EC8D6E">
              <w:rPr>
                <w:b/>
                <w:bCs/>
                <w:szCs w:val="20"/>
              </w:rPr>
              <w:t>(e)</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3EA295DA" w14:textId="65C5EED3" w:rsidR="52EC8D6E" w:rsidRDefault="52EC8D6E" w:rsidP="52EC8D6E">
            <w:pPr>
              <w:ind w:left="-20" w:right="-20"/>
              <w:jc w:val="left"/>
            </w:pPr>
            <w:r w:rsidRPr="52EC8D6E">
              <w:rPr>
                <w:b/>
                <w:bCs/>
                <w:szCs w:val="20"/>
              </w:rPr>
              <w:t>Defined Period</w:t>
            </w:r>
          </w:p>
        </w:tc>
      </w:tr>
      <w:tr w:rsidR="52EC8D6E" w14:paraId="15EAA37A"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4ACBE9A" w14:textId="0262981C" w:rsidR="52EC8D6E" w:rsidRDefault="52EC8D6E" w:rsidP="52EC8D6E">
            <w:pPr>
              <w:ind w:left="-20" w:right="-20"/>
            </w:pPr>
            <w:r w:rsidRPr="52EC8D6E">
              <w:rPr>
                <w:sz w:val="18"/>
                <w:szCs w:val="18"/>
              </w:rPr>
              <w:t>Dagan et al (2021)</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3792EB9" w14:textId="079EE9AA"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4298CA6" w14:textId="78507505"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2E18ADE0" w14:textId="55D7DD2D"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61ACBB3" w14:textId="5816B02D"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23B8ABE" w14:textId="7549E1CD"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70DACB03" w14:textId="0DC87CE7" w:rsidR="52EC8D6E" w:rsidRDefault="52EC8D6E" w:rsidP="52EC8D6E">
            <w:pPr>
              <w:ind w:left="-20" w:right="-20"/>
              <w:jc w:val="left"/>
            </w:pPr>
            <w:r w:rsidRPr="52EC8D6E">
              <w:rPr>
                <w:sz w:val="18"/>
                <w:szCs w:val="18"/>
              </w:rPr>
              <w:t>14 days</w:t>
            </w:r>
          </w:p>
        </w:tc>
      </w:tr>
      <w:tr w:rsidR="52EC8D6E" w14:paraId="4C5DC20C"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EE3171C" w14:textId="3CB2BC0D" w:rsidR="52EC8D6E" w:rsidRDefault="52EC8D6E" w:rsidP="52EC8D6E">
            <w:pPr>
              <w:ind w:left="-20" w:right="-20"/>
            </w:pPr>
            <w:r w:rsidRPr="52EC8D6E">
              <w:rPr>
                <w:sz w:val="18"/>
                <w:szCs w:val="18"/>
              </w:rPr>
              <w:t>Haas et al (2021)</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5C21147" w14:textId="20FC0D9D"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7C1A8C6E" w14:textId="37EEED2D"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663FC0A6" w14:textId="48FD1620"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7E5649D" w14:textId="694B491D"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222CAE1" w14:textId="259A8EC1"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4E9F6A1F" w14:textId="33E43C11" w:rsidR="52EC8D6E" w:rsidRDefault="52EC8D6E" w:rsidP="52EC8D6E">
            <w:pPr>
              <w:ind w:left="-20" w:right="-20"/>
              <w:jc w:val="left"/>
            </w:pPr>
            <w:r w:rsidRPr="52EC8D6E">
              <w:rPr>
                <w:sz w:val="18"/>
                <w:szCs w:val="18"/>
              </w:rPr>
              <w:t>7 days</w:t>
            </w:r>
          </w:p>
        </w:tc>
      </w:tr>
      <w:tr w:rsidR="52EC8D6E" w14:paraId="783892AB"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A93A73A" w14:textId="4EE7A405" w:rsidR="52EC8D6E" w:rsidRDefault="52EC8D6E" w:rsidP="52EC8D6E">
            <w:pPr>
              <w:ind w:left="-20" w:right="-20"/>
            </w:pPr>
            <w:r w:rsidRPr="52EC8D6E">
              <w:rPr>
                <w:sz w:val="18"/>
                <w:szCs w:val="18"/>
              </w:rPr>
              <w:t>Rosenberg et al (2021)</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E2781CD" w14:textId="44B54A4D"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D3BA07E" w14:textId="18E13CAB" w:rsidR="52EC8D6E" w:rsidRDefault="52EC8D6E" w:rsidP="52EC8D6E">
            <w:pPr>
              <w:ind w:left="-20" w:right="-20"/>
              <w:jc w:val="center"/>
            </w:pPr>
            <w:r w:rsidRPr="52EC8D6E">
              <w:rPr>
                <w:sz w:val="18"/>
                <w:szCs w:val="18"/>
              </w:rPr>
              <w:t>X</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4FBCA863" w14:textId="72E14C6E"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CF916B6" w14:textId="633D9715"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7EB01E6" w14:textId="0DEEB0F3"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0D7D265F" w14:textId="5C3E4FF6" w:rsidR="52EC8D6E" w:rsidRDefault="52EC8D6E" w:rsidP="52EC8D6E">
            <w:pPr>
              <w:ind w:left="-20" w:right="-20"/>
              <w:jc w:val="left"/>
            </w:pPr>
            <w:r w:rsidRPr="52EC8D6E">
              <w:rPr>
                <w:sz w:val="18"/>
                <w:szCs w:val="18"/>
              </w:rPr>
              <w:t>14 days</w:t>
            </w:r>
          </w:p>
        </w:tc>
      </w:tr>
      <w:tr w:rsidR="52EC8D6E" w14:paraId="1524D7FF"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248F461" w14:textId="3A66D856" w:rsidR="52EC8D6E" w:rsidRDefault="52EC8D6E" w:rsidP="52EC8D6E">
            <w:pPr>
              <w:ind w:left="-20" w:right="-20"/>
            </w:pPr>
            <w:r w:rsidRPr="52EC8D6E">
              <w:rPr>
                <w:sz w:val="18"/>
                <w:szCs w:val="18"/>
              </w:rPr>
              <w:t>Thomas et al (2021)</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095A40E0" w14:textId="697192D5"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2B88400B" w14:textId="589A581E"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3A24FF74" w14:textId="66A23BAB"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789ADFC" w14:textId="4B251B72"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2EF8D25" w14:textId="1A177754"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1DEE750B" w14:textId="7587465D" w:rsidR="52EC8D6E" w:rsidRDefault="52EC8D6E" w:rsidP="52EC8D6E">
            <w:pPr>
              <w:ind w:left="-20" w:right="-20"/>
              <w:jc w:val="left"/>
            </w:pPr>
            <w:r w:rsidRPr="52EC8D6E">
              <w:rPr>
                <w:sz w:val="18"/>
                <w:szCs w:val="18"/>
              </w:rPr>
              <w:t>7 days</w:t>
            </w:r>
          </w:p>
        </w:tc>
      </w:tr>
      <w:tr w:rsidR="52EC8D6E" w14:paraId="73251A1A"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1E35B8B" w14:textId="303E138B" w:rsidR="52EC8D6E" w:rsidRDefault="52EC8D6E" w:rsidP="52EC8D6E">
            <w:pPr>
              <w:ind w:left="-20" w:right="-20"/>
            </w:pPr>
            <w:r w:rsidRPr="52EC8D6E">
              <w:rPr>
                <w:sz w:val="18"/>
                <w:szCs w:val="18"/>
              </w:rPr>
              <w:t>Angel et al (2021)</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2070C77" w14:textId="67E8F8D3"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32BA09D" w14:textId="50DAFC40"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205CD69E" w14:textId="78B2A044" w:rsidR="52EC8D6E" w:rsidRDefault="52EC8D6E" w:rsidP="52EC8D6E">
            <w:pPr>
              <w:ind w:left="-20" w:right="-20"/>
              <w:jc w:val="center"/>
            </w:pPr>
            <w:r w:rsidRPr="52EC8D6E">
              <w:rPr>
                <w:sz w:val="18"/>
                <w:szCs w:val="18"/>
              </w:rPr>
              <w:t>X</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CE10484" w14:textId="5F66BC53"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055EC442" w14:textId="3D8F3166"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3644E2BC" w14:textId="550AD4E9" w:rsidR="52EC8D6E" w:rsidRDefault="52EC8D6E" w:rsidP="52EC8D6E">
            <w:pPr>
              <w:ind w:left="-20" w:right="-20"/>
              <w:jc w:val="left"/>
            </w:pPr>
            <w:r w:rsidRPr="52EC8D6E">
              <w:rPr>
                <w:sz w:val="18"/>
                <w:szCs w:val="18"/>
              </w:rPr>
              <w:t>7 days</w:t>
            </w:r>
          </w:p>
        </w:tc>
      </w:tr>
      <w:tr w:rsidR="52EC8D6E" w14:paraId="5E8588F2"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86DF98F" w14:textId="66C58026" w:rsidR="52EC8D6E" w:rsidRDefault="52EC8D6E" w:rsidP="52EC8D6E">
            <w:pPr>
              <w:ind w:left="-20" w:right="-20"/>
            </w:pPr>
            <w:r w:rsidRPr="52EC8D6E">
              <w:rPr>
                <w:sz w:val="18"/>
                <w:szCs w:val="18"/>
              </w:rPr>
              <w:t>NSW Health (2021)</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92F41DB" w14:textId="1E9A6215"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2D7B8A55" w14:textId="550F8752" w:rsidR="52EC8D6E" w:rsidRDefault="52EC8D6E" w:rsidP="52EC8D6E">
            <w:pPr>
              <w:ind w:left="-20" w:right="-20"/>
              <w:jc w:val="center"/>
            </w:pPr>
            <w:r w:rsidRPr="52EC8D6E">
              <w:rPr>
                <w:sz w:val="18"/>
                <w:szCs w:val="18"/>
              </w:rPr>
              <w:t>X</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69563788" w14:textId="299F6B16"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B2ECAFF" w14:textId="67A6E0A9"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9C819B7" w14:textId="5E8E4650"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23393C46" w14:textId="10A1AF26" w:rsidR="52EC8D6E" w:rsidRDefault="52EC8D6E" w:rsidP="52EC8D6E">
            <w:pPr>
              <w:ind w:left="-20" w:right="-20"/>
              <w:jc w:val="left"/>
            </w:pPr>
            <w:r w:rsidRPr="52EC8D6E">
              <w:rPr>
                <w:sz w:val="18"/>
                <w:szCs w:val="18"/>
              </w:rPr>
              <w:t>14 days</w:t>
            </w:r>
          </w:p>
        </w:tc>
      </w:tr>
      <w:tr w:rsidR="52EC8D6E" w14:paraId="5E153383"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13C8BD0" w14:textId="64B3843D" w:rsidR="52EC8D6E" w:rsidRDefault="52EC8D6E" w:rsidP="52EC8D6E">
            <w:pPr>
              <w:ind w:left="-20" w:right="-20"/>
            </w:pPr>
            <w:r w:rsidRPr="52EC8D6E">
              <w:rPr>
                <w:sz w:val="18"/>
                <w:szCs w:val="18"/>
              </w:rPr>
              <w:t>Ali et al (2021)</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DFA7197" w14:textId="5BE16868"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54023FAC" w14:textId="387BB9BC"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2ECA12EF" w14:textId="1C9A8797"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1400B0B" w14:textId="147DCD8E"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D24EF8C" w14:textId="4CF18B26"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4F306F0D" w14:textId="436889EB" w:rsidR="52EC8D6E" w:rsidRDefault="52EC8D6E" w:rsidP="52EC8D6E">
            <w:pPr>
              <w:ind w:left="-20" w:right="-20"/>
              <w:jc w:val="left"/>
            </w:pPr>
            <w:r w:rsidRPr="52EC8D6E">
              <w:rPr>
                <w:sz w:val="18"/>
                <w:szCs w:val="18"/>
              </w:rPr>
              <w:t>14 days</w:t>
            </w:r>
          </w:p>
        </w:tc>
      </w:tr>
      <w:tr w:rsidR="52EC8D6E" w14:paraId="47B03F64"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7EE6E5D" w14:textId="364A3E12" w:rsidR="52EC8D6E" w:rsidRDefault="52EC8D6E" w:rsidP="52EC8D6E">
            <w:pPr>
              <w:ind w:left="-20" w:right="-20"/>
            </w:pPr>
            <w:proofErr w:type="spellStart"/>
            <w:r w:rsidRPr="52EC8D6E">
              <w:rPr>
                <w:sz w:val="18"/>
                <w:szCs w:val="18"/>
              </w:rPr>
              <w:t>Pilishvili</w:t>
            </w:r>
            <w:proofErr w:type="spellEnd"/>
            <w:r w:rsidRPr="52EC8D6E">
              <w:rPr>
                <w:sz w:val="18"/>
                <w:szCs w:val="18"/>
              </w:rPr>
              <w:t xml:space="preserve"> et al (2021)</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677EB97" w14:textId="0801C739"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7C8AC4EF" w14:textId="0BFE13C2"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7808EEF4" w14:textId="04F16DDE" w:rsidR="52EC8D6E" w:rsidRDefault="52EC8D6E" w:rsidP="52EC8D6E">
            <w:pPr>
              <w:ind w:left="-20" w:right="-20"/>
              <w:jc w:val="center"/>
            </w:pPr>
            <w:r w:rsidRPr="52EC8D6E">
              <w:rPr>
                <w:sz w:val="18"/>
                <w:szCs w:val="18"/>
              </w:rPr>
              <w:t>X</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6CB4ED4" w14:textId="3FB0E928"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DC35BB8" w14:textId="781937AE"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2C2A016E" w14:textId="7FA5E37A" w:rsidR="52EC8D6E" w:rsidRDefault="52EC8D6E" w:rsidP="52EC8D6E">
            <w:pPr>
              <w:ind w:left="-20" w:right="-20"/>
              <w:jc w:val="left"/>
            </w:pPr>
            <w:r w:rsidRPr="52EC8D6E">
              <w:rPr>
                <w:sz w:val="18"/>
                <w:szCs w:val="18"/>
              </w:rPr>
              <w:t>14 days / 7 days</w:t>
            </w:r>
          </w:p>
        </w:tc>
      </w:tr>
      <w:tr w:rsidR="52EC8D6E" w14:paraId="292641CA"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3A9454C" w14:textId="5283EB26" w:rsidR="52EC8D6E" w:rsidRDefault="52EC8D6E" w:rsidP="52EC8D6E">
            <w:pPr>
              <w:ind w:left="-20" w:right="-20"/>
            </w:pPr>
            <w:r w:rsidRPr="52EC8D6E">
              <w:rPr>
                <w:sz w:val="18"/>
                <w:szCs w:val="18"/>
              </w:rPr>
              <w:t>Andrews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FA94BF4" w14:textId="53BECD2B"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34F84025" w14:textId="45FE4618"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5FDE10A9" w14:textId="584ED490"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16F4DB6" w14:textId="5AA68BBB"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D5858EC" w14:textId="1D2CB61C"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673C4428" w14:textId="2E1D6453" w:rsidR="52EC8D6E" w:rsidRDefault="52EC8D6E" w:rsidP="52EC8D6E">
            <w:pPr>
              <w:ind w:left="-20" w:right="-20"/>
              <w:jc w:val="left"/>
            </w:pPr>
            <w:r w:rsidRPr="52EC8D6E">
              <w:rPr>
                <w:sz w:val="18"/>
                <w:szCs w:val="18"/>
              </w:rPr>
              <w:t>28 days</w:t>
            </w:r>
          </w:p>
        </w:tc>
      </w:tr>
      <w:tr w:rsidR="52EC8D6E" w14:paraId="0FA50F40"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773BA05" w14:textId="59E945CA" w:rsidR="52EC8D6E" w:rsidRDefault="52EC8D6E" w:rsidP="52EC8D6E">
            <w:pPr>
              <w:ind w:left="-20" w:right="-20"/>
            </w:pPr>
            <w:proofErr w:type="spellStart"/>
            <w:r w:rsidRPr="52EC8D6E">
              <w:rPr>
                <w:sz w:val="18"/>
                <w:szCs w:val="18"/>
              </w:rPr>
              <w:t>Buam</w:t>
            </w:r>
            <w:proofErr w:type="spellEnd"/>
            <w:r w:rsidRPr="52EC8D6E">
              <w:rPr>
                <w:sz w:val="18"/>
                <w:szCs w:val="18"/>
              </w:rPr>
              <w:t xml:space="preserve">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0E9D73D" w14:textId="30313033"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863C64E" w14:textId="7840B91F"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7D4DAC24" w14:textId="37C1C77B"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7F2E858" w14:textId="13954418"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24B920C" w14:textId="677E020B"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5F9D9D2D" w14:textId="53EA346E" w:rsidR="52EC8D6E" w:rsidRDefault="52EC8D6E" w:rsidP="52EC8D6E">
            <w:pPr>
              <w:ind w:left="-20" w:right="-20"/>
              <w:jc w:val="left"/>
            </w:pPr>
            <w:r w:rsidRPr="52EC8D6E">
              <w:rPr>
                <w:sz w:val="18"/>
                <w:szCs w:val="18"/>
              </w:rPr>
              <w:t>21 days / 14 days</w:t>
            </w:r>
          </w:p>
        </w:tc>
      </w:tr>
      <w:tr w:rsidR="52EC8D6E" w14:paraId="4376E77E"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9376E16" w14:textId="39D60B8E" w:rsidR="52EC8D6E" w:rsidRDefault="52EC8D6E" w:rsidP="52EC8D6E">
            <w:pPr>
              <w:ind w:left="-20" w:right="-20"/>
            </w:pPr>
            <w:r w:rsidRPr="52EC8D6E">
              <w:rPr>
                <w:sz w:val="18"/>
                <w:szCs w:val="18"/>
              </w:rPr>
              <w:t>Buchan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5BC17E9" w14:textId="516316EC"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7414D0CB" w14:textId="6EFDC1E0"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3D527AF8" w14:textId="5BC4D43A"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A6FE742" w14:textId="1688A89F"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1300997" w14:textId="7FE03EF4"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7D605995" w14:textId="75BF9390" w:rsidR="52EC8D6E" w:rsidRDefault="52EC8D6E" w:rsidP="52EC8D6E">
            <w:pPr>
              <w:ind w:left="-20" w:right="-20"/>
              <w:jc w:val="left"/>
            </w:pPr>
            <w:r w:rsidRPr="52EC8D6E">
              <w:rPr>
                <w:sz w:val="18"/>
                <w:szCs w:val="18"/>
              </w:rPr>
              <w:t>7 days</w:t>
            </w:r>
          </w:p>
        </w:tc>
      </w:tr>
      <w:tr w:rsidR="52EC8D6E" w14:paraId="13387579"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9BE373F" w14:textId="5D9119D3" w:rsidR="52EC8D6E" w:rsidRDefault="52EC8D6E" w:rsidP="52EC8D6E">
            <w:pPr>
              <w:ind w:left="-20" w:right="-20"/>
            </w:pPr>
            <w:r w:rsidRPr="52EC8D6E">
              <w:rPr>
                <w:sz w:val="18"/>
                <w:szCs w:val="18"/>
              </w:rPr>
              <w:t>Carazo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AADC515" w14:textId="2CC591EC"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75C27601" w14:textId="5C5C5817"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60159834" w14:textId="63BBACA9"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79E2937" w14:textId="222783A5"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4E0E2AE" w14:textId="2E38341F"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7BFACB05" w14:textId="3566C8AF" w:rsidR="52EC8D6E" w:rsidRDefault="52EC8D6E" w:rsidP="52EC8D6E">
            <w:pPr>
              <w:ind w:left="-20" w:right="-20"/>
              <w:jc w:val="left"/>
            </w:pPr>
            <w:r w:rsidRPr="52EC8D6E">
              <w:rPr>
                <w:sz w:val="18"/>
                <w:szCs w:val="18"/>
              </w:rPr>
              <w:t>14 days</w:t>
            </w:r>
          </w:p>
        </w:tc>
      </w:tr>
      <w:tr w:rsidR="52EC8D6E" w14:paraId="0E6C3865"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95AB254" w14:textId="272D7C78" w:rsidR="52EC8D6E" w:rsidRDefault="52EC8D6E" w:rsidP="52EC8D6E">
            <w:pPr>
              <w:ind w:left="-20" w:right="-20"/>
            </w:pPr>
            <w:r w:rsidRPr="52EC8D6E">
              <w:rPr>
                <w:sz w:val="18"/>
                <w:szCs w:val="18"/>
              </w:rPr>
              <w:t>Chung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837BBFF" w14:textId="7CEC3972"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4683FAF1" w14:textId="147D13F2"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018358C1" w14:textId="1FDD9736"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B34B53F" w14:textId="2B45CBED"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BBE590F" w14:textId="2CEE000F"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27E45366" w14:textId="67A94382" w:rsidR="52EC8D6E" w:rsidRDefault="52EC8D6E" w:rsidP="52EC8D6E">
            <w:pPr>
              <w:ind w:left="-20" w:right="-20"/>
              <w:jc w:val="left"/>
            </w:pPr>
            <w:r w:rsidRPr="52EC8D6E">
              <w:rPr>
                <w:sz w:val="18"/>
                <w:szCs w:val="18"/>
              </w:rPr>
              <w:t>7 days</w:t>
            </w:r>
          </w:p>
        </w:tc>
      </w:tr>
      <w:tr w:rsidR="52EC8D6E" w14:paraId="3F31D853"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E1A4F31" w14:textId="7BDF761A" w:rsidR="52EC8D6E" w:rsidRDefault="52EC8D6E" w:rsidP="52EC8D6E">
            <w:pPr>
              <w:ind w:left="-20" w:right="-20"/>
            </w:pPr>
            <w:r w:rsidRPr="52EC8D6E">
              <w:rPr>
                <w:sz w:val="18"/>
                <w:szCs w:val="18"/>
              </w:rPr>
              <w:t>Palinkas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57D8740" w14:textId="51B6838F"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421EA950" w14:textId="09FA98FA"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1438E849" w14:textId="5FEE1690"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1AE0C21" w14:textId="1EA9CE04"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772CD30" w14:textId="02DAA57B"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0B65C03B" w14:textId="06BFD7A7" w:rsidR="52EC8D6E" w:rsidRDefault="52EC8D6E" w:rsidP="52EC8D6E">
            <w:pPr>
              <w:ind w:left="-20" w:right="-20"/>
              <w:jc w:val="left"/>
            </w:pPr>
            <w:r w:rsidRPr="52EC8D6E">
              <w:rPr>
                <w:sz w:val="18"/>
                <w:szCs w:val="18"/>
              </w:rPr>
              <w:t>7 days</w:t>
            </w:r>
          </w:p>
        </w:tc>
      </w:tr>
      <w:tr w:rsidR="52EC8D6E" w14:paraId="7FA76E0D"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787EA7F" w14:textId="2108B384" w:rsidR="52EC8D6E" w:rsidRDefault="52EC8D6E" w:rsidP="52EC8D6E">
            <w:pPr>
              <w:ind w:left="-20" w:right="-20"/>
            </w:pPr>
            <w:r w:rsidRPr="52EC8D6E">
              <w:rPr>
                <w:sz w:val="18"/>
                <w:szCs w:val="18"/>
              </w:rPr>
              <w:t>Ferdinands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A2531B7" w14:textId="30E14A36"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3F5859C3" w14:textId="5F24C3C4" w:rsidR="52EC8D6E" w:rsidRDefault="52EC8D6E" w:rsidP="52EC8D6E">
            <w:pPr>
              <w:ind w:left="-20" w:right="-20"/>
              <w:jc w:val="center"/>
            </w:pPr>
            <w:r w:rsidRPr="52EC8D6E">
              <w:rPr>
                <w:sz w:val="18"/>
                <w:szCs w:val="18"/>
              </w:rPr>
              <w:t>X</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5E8ED296" w14:textId="0DF052D4"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FD8BDB0" w14:textId="2224E964" w:rsidR="52EC8D6E" w:rsidRDefault="52EC8D6E" w:rsidP="52EC8D6E">
            <w:pPr>
              <w:ind w:left="-20" w:right="-20"/>
              <w:jc w:val="center"/>
            </w:pPr>
            <w:r w:rsidRPr="52EC8D6E">
              <w:rPr>
                <w:sz w:val="18"/>
                <w:szCs w:val="18"/>
              </w:rPr>
              <w:t>X</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C580C79" w14:textId="12BACF70"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6D469EBD" w14:textId="06BE2674" w:rsidR="52EC8D6E" w:rsidRDefault="52EC8D6E" w:rsidP="52EC8D6E">
            <w:pPr>
              <w:ind w:left="-20" w:right="-20"/>
              <w:jc w:val="left"/>
            </w:pPr>
            <w:r w:rsidRPr="52EC8D6E">
              <w:rPr>
                <w:sz w:val="18"/>
                <w:szCs w:val="18"/>
              </w:rPr>
              <w:t>14 days</w:t>
            </w:r>
          </w:p>
        </w:tc>
      </w:tr>
      <w:tr w:rsidR="52EC8D6E" w14:paraId="164AE693"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4644C54" w14:textId="0E8B8E80" w:rsidR="52EC8D6E" w:rsidRDefault="52EC8D6E" w:rsidP="52EC8D6E">
            <w:pPr>
              <w:ind w:left="-20" w:right="-20"/>
            </w:pPr>
            <w:r w:rsidRPr="52EC8D6E">
              <w:rPr>
                <w:sz w:val="18"/>
                <w:szCs w:val="18"/>
              </w:rPr>
              <w:t>Lyngse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8DD45E0" w14:textId="3E04D34D"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E4CA29A" w14:textId="69A5C3FE"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4D97B2E7" w14:textId="494752BE"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BA4DC58" w14:textId="03CD78A9"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1514433" w14:textId="49519885"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23899FCC" w14:textId="27071AE2" w:rsidR="52EC8D6E" w:rsidRDefault="52EC8D6E" w:rsidP="52EC8D6E">
            <w:pPr>
              <w:ind w:left="-20" w:right="-20"/>
              <w:jc w:val="left"/>
            </w:pPr>
            <w:r w:rsidRPr="52EC8D6E">
              <w:rPr>
                <w:sz w:val="18"/>
                <w:szCs w:val="18"/>
              </w:rPr>
              <w:t>7-15 days</w:t>
            </w:r>
          </w:p>
        </w:tc>
      </w:tr>
      <w:tr w:rsidR="52EC8D6E" w14:paraId="2495021C"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F172BFB" w14:textId="1D16DE9C" w:rsidR="52EC8D6E" w:rsidRDefault="52EC8D6E" w:rsidP="52EC8D6E">
            <w:pPr>
              <w:ind w:left="-20" w:right="-20"/>
            </w:pPr>
            <w:r w:rsidRPr="52EC8D6E">
              <w:rPr>
                <w:sz w:val="18"/>
                <w:szCs w:val="18"/>
              </w:rPr>
              <w:lastRenderedPageBreak/>
              <w:t>Lyngse et al (2022b)</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0BD90F1" w14:textId="108AA95D"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711CBA6" w14:textId="5719FF21" w:rsidR="52EC8D6E" w:rsidRDefault="52EC8D6E" w:rsidP="52EC8D6E">
            <w:pPr>
              <w:ind w:left="-20" w:right="-20"/>
              <w:jc w:val="center"/>
            </w:pPr>
            <w:r w:rsidRPr="52EC8D6E">
              <w:rPr>
                <w:sz w:val="18"/>
                <w:szCs w:val="18"/>
              </w:rPr>
              <w:t>X</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42A29C24" w14:textId="3B9EC0B0"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F799C18" w14:textId="0F011DDD"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0C1129E7" w14:textId="15ED8C73"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0FD1A620" w14:textId="79335CBD" w:rsidR="52EC8D6E" w:rsidRDefault="52EC8D6E" w:rsidP="52EC8D6E">
            <w:pPr>
              <w:ind w:left="-20" w:right="-20"/>
              <w:jc w:val="left"/>
            </w:pPr>
            <w:r w:rsidRPr="52EC8D6E">
              <w:rPr>
                <w:sz w:val="18"/>
                <w:szCs w:val="18"/>
              </w:rPr>
              <w:t>7-15 days</w:t>
            </w:r>
          </w:p>
        </w:tc>
      </w:tr>
      <w:tr w:rsidR="52EC8D6E" w14:paraId="45DE9FB1"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0E0C974" w14:textId="4191CC1B" w:rsidR="52EC8D6E" w:rsidRDefault="52EC8D6E" w:rsidP="52EC8D6E">
            <w:pPr>
              <w:ind w:left="-20" w:right="-20"/>
            </w:pPr>
            <w:r w:rsidRPr="52EC8D6E">
              <w:rPr>
                <w:sz w:val="18"/>
                <w:szCs w:val="18"/>
              </w:rPr>
              <w:t>Nordstrom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06E9597A" w14:textId="04BCBF80"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5469EA0" w14:textId="6F0A6446"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4492FDF6" w14:textId="78309F97"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4EA8258" w14:textId="7921F7C2" w:rsidR="52EC8D6E" w:rsidRDefault="52EC8D6E" w:rsidP="52EC8D6E">
            <w:pPr>
              <w:ind w:left="-20" w:right="-20"/>
              <w:jc w:val="center"/>
            </w:pPr>
            <w:r w:rsidRPr="52EC8D6E">
              <w:rPr>
                <w:sz w:val="18"/>
                <w:szCs w:val="18"/>
              </w:rPr>
              <w:t>X</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04B5BF90" w14:textId="6A527814" w:rsidR="52EC8D6E" w:rsidRDefault="52EC8D6E" w:rsidP="52EC8D6E">
            <w:pPr>
              <w:ind w:left="-20" w:right="-20"/>
              <w:jc w:val="center"/>
            </w:pPr>
            <w:r w:rsidRPr="52EC8D6E">
              <w:rPr>
                <w:sz w:val="18"/>
                <w:szCs w:val="18"/>
              </w:rPr>
              <w:t>X</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615BD6FE" w14:textId="64A8B6B5" w:rsidR="52EC8D6E" w:rsidRDefault="52EC8D6E" w:rsidP="52EC8D6E">
            <w:pPr>
              <w:ind w:left="-20" w:right="-20"/>
              <w:jc w:val="left"/>
            </w:pPr>
            <w:r w:rsidRPr="52EC8D6E">
              <w:rPr>
                <w:sz w:val="18"/>
                <w:szCs w:val="18"/>
              </w:rPr>
              <w:t>14 days</w:t>
            </w:r>
          </w:p>
        </w:tc>
      </w:tr>
      <w:tr w:rsidR="52EC8D6E" w14:paraId="1025546C"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F731854" w14:textId="70812502" w:rsidR="52EC8D6E" w:rsidRDefault="52EC8D6E" w:rsidP="52EC8D6E">
            <w:pPr>
              <w:ind w:left="-20" w:right="-20"/>
            </w:pPr>
            <w:r w:rsidRPr="52EC8D6E">
              <w:rPr>
                <w:sz w:val="18"/>
                <w:szCs w:val="18"/>
              </w:rPr>
              <w:t>Petras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31870AE" w14:textId="462A5A3D"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4C194BCE" w14:textId="08C23B2C"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4F1230CA" w14:textId="3F5DC2BE"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EB4395C" w14:textId="7D52D67C"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303B23E" w14:textId="773F24C8"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53DE4907" w14:textId="44B9D18F" w:rsidR="52EC8D6E" w:rsidRDefault="52EC8D6E" w:rsidP="52EC8D6E">
            <w:pPr>
              <w:ind w:left="-20" w:right="-20"/>
              <w:jc w:val="left"/>
            </w:pPr>
            <w:r w:rsidRPr="52EC8D6E">
              <w:rPr>
                <w:sz w:val="18"/>
                <w:szCs w:val="18"/>
              </w:rPr>
              <w:t>14 days</w:t>
            </w:r>
          </w:p>
        </w:tc>
      </w:tr>
      <w:tr w:rsidR="52EC8D6E" w14:paraId="33491BAB"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7DAA663" w14:textId="2AC7C361" w:rsidR="52EC8D6E" w:rsidRDefault="52EC8D6E" w:rsidP="52EC8D6E">
            <w:pPr>
              <w:ind w:left="-20" w:right="-20"/>
            </w:pPr>
            <w:r w:rsidRPr="52EC8D6E">
              <w:rPr>
                <w:sz w:val="18"/>
                <w:szCs w:val="18"/>
              </w:rPr>
              <w:t>Robles-Fontan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6767164" w14:textId="73E7684D"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5B8B9A11" w14:textId="0DED9FC9"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5E299B52" w14:textId="2DFA8136"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EC23ED2" w14:textId="64163B50"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1D33C2A" w14:textId="03C3158C"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5647BEE2" w14:textId="458A5411" w:rsidR="52EC8D6E" w:rsidRDefault="52EC8D6E" w:rsidP="52EC8D6E">
            <w:pPr>
              <w:ind w:left="-20" w:right="-20"/>
              <w:jc w:val="left"/>
            </w:pPr>
            <w:r w:rsidRPr="52EC8D6E">
              <w:rPr>
                <w:sz w:val="18"/>
                <w:szCs w:val="18"/>
              </w:rPr>
              <w:t>14 days</w:t>
            </w:r>
          </w:p>
        </w:tc>
      </w:tr>
      <w:tr w:rsidR="52EC8D6E" w14:paraId="58D79CF8"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85687CD" w14:textId="7A93C5D2" w:rsidR="52EC8D6E" w:rsidRDefault="52EC8D6E" w:rsidP="52EC8D6E">
            <w:pPr>
              <w:ind w:left="-20" w:right="-20"/>
            </w:pPr>
            <w:r w:rsidRPr="52EC8D6E">
              <w:rPr>
                <w:sz w:val="18"/>
                <w:szCs w:val="18"/>
              </w:rPr>
              <w:t>Arbel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B020D2A" w14:textId="33299C57"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C1B1849" w14:textId="26916ABA"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253EE846" w14:textId="66DC694D"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06655AC5" w14:textId="1A36C776"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F8B08CB" w14:textId="5AAA2D99"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0D4C7DE2" w14:textId="513CACAE" w:rsidR="52EC8D6E" w:rsidRDefault="52EC8D6E" w:rsidP="52EC8D6E">
            <w:pPr>
              <w:ind w:left="-20" w:right="-20"/>
              <w:jc w:val="left"/>
            </w:pPr>
            <w:r w:rsidRPr="52EC8D6E">
              <w:rPr>
                <w:sz w:val="18"/>
                <w:szCs w:val="18"/>
              </w:rPr>
              <w:t>7 days</w:t>
            </w:r>
          </w:p>
        </w:tc>
      </w:tr>
      <w:tr w:rsidR="52EC8D6E" w14:paraId="6F8C056C"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2C0127D" w14:textId="254D816E" w:rsidR="52EC8D6E" w:rsidRDefault="52EC8D6E" w:rsidP="52EC8D6E">
            <w:pPr>
              <w:ind w:left="-20" w:right="-20"/>
            </w:pPr>
            <w:r w:rsidRPr="52EC8D6E">
              <w:rPr>
                <w:sz w:val="18"/>
                <w:szCs w:val="18"/>
              </w:rPr>
              <w:t>Paternina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0E470D9" w14:textId="13AA1111"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FB0463B" w14:textId="65B72F33"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6E9F40A2" w14:textId="343B4391"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0012DD8B" w14:textId="5C14E00D"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62D4758" w14:textId="32EA2BC0"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5437B304" w14:textId="1BDE50D4" w:rsidR="52EC8D6E" w:rsidRDefault="52EC8D6E" w:rsidP="52EC8D6E">
            <w:pPr>
              <w:ind w:left="-20" w:right="-20"/>
              <w:jc w:val="left"/>
            </w:pPr>
            <w:r w:rsidRPr="52EC8D6E">
              <w:rPr>
                <w:sz w:val="18"/>
                <w:szCs w:val="18"/>
              </w:rPr>
              <w:t>14 days</w:t>
            </w:r>
          </w:p>
        </w:tc>
      </w:tr>
      <w:tr w:rsidR="52EC8D6E" w14:paraId="1AB816AC"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8199548" w14:textId="2CFF6DF7" w:rsidR="52EC8D6E" w:rsidRDefault="52EC8D6E" w:rsidP="52EC8D6E">
            <w:pPr>
              <w:ind w:left="-20" w:right="-20"/>
            </w:pPr>
            <w:r w:rsidRPr="52EC8D6E">
              <w:rPr>
                <w:sz w:val="18"/>
                <w:szCs w:val="18"/>
              </w:rPr>
              <w:t>Stock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3673D1B" w14:textId="1CCD6989"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261E0ED3" w14:textId="5AC0243A"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72519D87" w14:textId="378ECAF2"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956EF62" w14:textId="7E3C4D2D"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E72BC8E" w14:textId="1002CF27"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43A4D367" w14:textId="199E5200" w:rsidR="52EC8D6E" w:rsidRDefault="52EC8D6E" w:rsidP="52EC8D6E">
            <w:pPr>
              <w:ind w:left="-20" w:right="-20"/>
              <w:jc w:val="left"/>
            </w:pPr>
            <w:r w:rsidRPr="52EC8D6E">
              <w:rPr>
                <w:sz w:val="18"/>
                <w:szCs w:val="18"/>
              </w:rPr>
              <w:t>21 days / 14 days</w:t>
            </w:r>
          </w:p>
        </w:tc>
      </w:tr>
      <w:tr w:rsidR="52EC8D6E" w14:paraId="76678F52"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C6E888C" w14:textId="2FE772E5" w:rsidR="52EC8D6E" w:rsidRDefault="52EC8D6E" w:rsidP="52EC8D6E">
            <w:pPr>
              <w:ind w:left="-20" w:right="-20"/>
            </w:pPr>
            <w:r w:rsidRPr="52EC8D6E">
              <w:rPr>
                <w:sz w:val="18"/>
                <w:szCs w:val="18"/>
              </w:rPr>
              <w:t>Bermingham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002ED0A" w14:textId="73792899"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1B307AB4" w14:textId="66EB9E87"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0FA105C1" w14:textId="4B2FD517"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9FD6B2A" w14:textId="7A7E85CF"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1D089EB" w14:textId="60FF0AC5"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5DF4F119" w14:textId="6F2A27A0" w:rsidR="52EC8D6E" w:rsidRDefault="52EC8D6E" w:rsidP="52EC8D6E">
            <w:pPr>
              <w:ind w:left="-20" w:right="-20"/>
              <w:jc w:val="left"/>
            </w:pPr>
            <w:r w:rsidRPr="52EC8D6E">
              <w:rPr>
                <w:sz w:val="18"/>
                <w:szCs w:val="18"/>
              </w:rPr>
              <w:t>21 days</w:t>
            </w:r>
          </w:p>
        </w:tc>
      </w:tr>
      <w:tr w:rsidR="52EC8D6E" w14:paraId="316093AE"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12C2B6D" w14:textId="4A7AF6A9" w:rsidR="52EC8D6E" w:rsidRDefault="52EC8D6E" w:rsidP="52EC8D6E">
            <w:pPr>
              <w:ind w:left="-20" w:right="-20"/>
            </w:pPr>
            <w:r w:rsidRPr="52EC8D6E">
              <w:rPr>
                <w:sz w:val="18"/>
                <w:szCs w:val="18"/>
              </w:rPr>
              <w:t>Yau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8A5CCC7" w14:textId="33E4905F"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3FF52D9F" w14:textId="485E2A19"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165CDBB0" w14:textId="39C9C1A5"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080A969B" w14:textId="44A60961"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D4983F4" w14:textId="480A2E7E"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55FD0360" w14:textId="455F6FFD" w:rsidR="52EC8D6E" w:rsidRDefault="52EC8D6E" w:rsidP="52EC8D6E">
            <w:pPr>
              <w:ind w:left="-20" w:right="-20"/>
              <w:jc w:val="left"/>
            </w:pPr>
            <w:r w:rsidRPr="52EC8D6E">
              <w:rPr>
                <w:sz w:val="18"/>
                <w:szCs w:val="18"/>
              </w:rPr>
              <w:t>Until fully vaccinated</w:t>
            </w:r>
          </w:p>
        </w:tc>
      </w:tr>
      <w:tr w:rsidR="52EC8D6E" w14:paraId="70D79193"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1797F55" w14:textId="57135C78" w:rsidR="52EC8D6E" w:rsidRDefault="52EC8D6E" w:rsidP="52EC8D6E">
            <w:pPr>
              <w:ind w:left="-20" w:right="-20"/>
            </w:pPr>
            <w:r w:rsidRPr="52EC8D6E">
              <w:rPr>
                <w:sz w:val="18"/>
                <w:szCs w:val="18"/>
              </w:rPr>
              <w:t>Mitchell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31B0B42" w14:textId="083B43B0"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54FFEDB5" w14:textId="75382783"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55A82096" w14:textId="1C5C4F98"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E40A422" w14:textId="06A80B29"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7D16C6A" w14:textId="73DED008"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0DD22A86" w14:textId="4B4F797B" w:rsidR="52EC8D6E" w:rsidRDefault="52EC8D6E" w:rsidP="52EC8D6E">
            <w:pPr>
              <w:ind w:left="-20" w:right="-20"/>
              <w:jc w:val="left"/>
            </w:pPr>
            <w:r w:rsidRPr="52EC8D6E">
              <w:rPr>
                <w:sz w:val="18"/>
                <w:szCs w:val="18"/>
              </w:rPr>
              <w:t>14 days</w:t>
            </w:r>
          </w:p>
        </w:tc>
      </w:tr>
      <w:tr w:rsidR="52EC8D6E" w14:paraId="2A623440"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5AC1A33" w14:textId="2F1CDE92" w:rsidR="52EC8D6E" w:rsidRDefault="52EC8D6E" w:rsidP="52EC8D6E">
            <w:pPr>
              <w:ind w:left="-20" w:right="-20"/>
            </w:pPr>
            <w:r w:rsidRPr="52EC8D6E">
              <w:rPr>
                <w:sz w:val="18"/>
                <w:szCs w:val="18"/>
              </w:rPr>
              <w:t>Tan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90AFF33" w14:textId="48E417B9"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5197580F" w14:textId="7F29AC33"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1C862791" w14:textId="74ED8900"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1BB2381" w14:textId="47ED1C06"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46662FB" w14:textId="2A17C1B2"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56B9877D" w14:textId="69B9A508" w:rsidR="52EC8D6E" w:rsidRDefault="52EC8D6E" w:rsidP="52EC8D6E">
            <w:pPr>
              <w:ind w:left="-20" w:right="-20"/>
              <w:jc w:val="left"/>
            </w:pPr>
            <w:r w:rsidRPr="52EC8D6E">
              <w:rPr>
                <w:sz w:val="18"/>
                <w:szCs w:val="18"/>
              </w:rPr>
              <w:t>7 days</w:t>
            </w:r>
          </w:p>
        </w:tc>
      </w:tr>
      <w:tr w:rsidR="52EC8D6E" w14:paraId="22E5AE18"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77C3EF4" w14:textId="055CF13E" w:rsidR="52EC8D6E" w:rsidRDefault="52EC8D6E" w:rsidP="52EC8D6E">
            <w:pPr>
              <w:ind w:left="-20" w:right="-20"/>
            </w:pPr>
            <w:r w:rsidRPr="52EC8D6E">
              <w:rPr>
                <w:sz w:val="18"/>
                <w:szCs w:val="18"/>
              </w:rPr>
              <w:t xml:space="preserve">Al </w:t>
            </w:r>
            <w:proofErr w:type="spellStart"/>
            <w:r w:rsidRPr="52EC8D6E">
              <w:rPr>
                <w:sz w:val="18"/>
                <w:szCs w:val="18"/>
              </w:rPr>
              <w:t>Kaabi</w:t>
            </w:r>
            <w:proofErr w:type="spellEnd"/>
            <w:r w:rsidRPr="52EC8D6E">
              <w:rPr>
                <w:sz w:val="18"/>
                <w:szCs w:val="18"/>
              </w:rPr>
              <w:t xml:space="preserve">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CF314FB" w14:textId="2F557AA8"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4F24AF2" w14:textId="290D3CF8"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2D59D691" w14:textId="671E7D4F"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0F03E87" w14:textId="0728F580"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352240A" w14:textId="00505073"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5B4559A8" w14:textId="6EA9838A" w:rsidR="52EC8D6E" w:rsidRDefault="52EC8D6E" w:rsidP="52EC8D6E">
            <w:pPr>
              <w:ind w:left="-20" w:right="-20"/>
              <w:jc w:val="left"/>
            </w:pPr>
            <w:r w:rsidRPr="52EC8D6E">
              <w:rPr>
                <w:sz w:val="18"/>
                <w:szCs w:val="18"/>
              </w:rPr>
              <w:t>14 days</w:t>
            </w:r>
          </w:p>
        </w:tc>
      </w:tr>
      <w:tr w:rsidR="52EC8D6E" w14:paraId="185A19E3"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8B074FF" w14:textId="1C155F30" w:rsidR="52EC8D6E" w:rsidRDefault="52EC8D6E" w:rsidP="52EC8D6E">
            <w:pPr>
              <w:ind w:left="-20" w:right="-20"/>
            </w:pPr>
            <w:proofErr w:type="spellStart"/>
            <w:r w:rsidRPr="52EC8D6E">
              <w:rPr>
                <w:sz w:val="18"/>
                <w:szCs w:val="18"/>
              </w:rPr>
              <w:t>Tabarsi</w:t>
            </w:r>
            <w:proofErr w:type="spellEnd"/>
            <w:r w:rsidRPr="52EC8D6E">
              <w:rPr>
                <w:sz w:val="18"/>
                <w:szCs w:val="18"/>
              </w:rPr>
              <w:t xml:space="preserve">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01E1087" w14:textId="74927BDB"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3C63AA63" w14:textId="2CF844C3"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49B0C676" w14:textId="23EA2EA9" w:rsidR="52EC8D6E" w:rsidRDefault="52EC8D6E" w:rsidP="52EC8D6E">
            <w:pPr>
              <w:ind w:left="-20" w:right="-20"/>
              <w:jc w:val="center"/>
            </w:pPr>
            <w:r w:rsidRPr="52EC8D6E">
              <w:rPr>
                <w:sz w:val="18"/>
                <w:szCs w:val="18"/>
              </w:rPr>
              <w:t>X</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F53D2F7" w14:textId="5ACE3796" w:rsidR="52EC8D6E" w:rsidRDefault="52EC8D6E" w:rsidP="52EC8D6E">
            <w:pPr>
              <w:ind w:left="-20" w:right="-20"/>
              <w:jc w:val="center"/>
            </w:pPr>
            <w:r w:rsidRPr="52EC8D6E">
              <w:rPr>
                <w:sz w:val="18"/>
                <w:szCs w:val="18"/>
              </w:rPr>
              <w:t>X</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A6B0F57" w14:textId="1BB08CA9"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616B3E96" w14:textId="78BA75F5" w:rsidR="52EC8D6E" w:rsidRDefault="52EC8D6E" w:rsidP="52EC8D6E">
            <w:pPr>
              <w:ind w:left="-20" w:right="-20"/>
              <w:jc w:val="left"/>
            </w:pPr>
            <w:r w:rsidRPr="52EC8D6E">
              <w:rPr>
                <w:sz w:val="18"/>
                <w:szCs w:val="18"/>
              </w:rPr>
              <w:t>14 days</w:t>
            </w:r>
          </w:p>
        </w:tc>
      </w:tr>
      <w:tr w:rsidR="52EC8D6E" w14:paraId="69A812E2"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BDEFF46" w14:textId="2FF456E7" w:rsidR="52EC8D6E" w:rsidRDefault="52EC8D6E" w:rsidP="52EC8D6E">
            <w:pPr>
              <w:ind w:left="-20" w:right="-20"/>
            </w:pPr>
            <w:r w:rsidRPr="52EC8D6E">
              <w:rPr>
                <w:sz w:val="18"/>
                <w:szCs w:val="18"/>
              </w:rPr>
              <w:t>Heath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30FCFD3" w14:textId="57E4D19C"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BBC447D" w14:textId="04105AB6"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15913F5A" w14:textId="0860238C" w:rsidR="52EC8D6E" w:rsidRDefault="52EC8D6E" w:rsidP="52EC8D6E">
            <w:pPr>
              <w:ind w:left="-20" w:right="-20"/>
              <w:jc w:val="center"/>
            </w:pPr>
            <w:r w:rsidRPr="52EC8D6E">
              <w:rPr>
                <w:sz w:val="18"/>
                <w:szCs w:val="18"/>
              </w:rPr>
              <w:t>X</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D5BCDB2" w14:textId="0057AC13"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8C4AB2C" w14:textId="18F5FD10"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4A018BA3" w14:textId="2B468B9B" w:rsidR="52EC8D6E" w:rsidRDefault="52EC8D6E" w:rsidP="52EC8D6E">
            <w:pPr>
              <w:ind w:left="-20" w:right="-20"/>
              <w:jc w:val="left"/>
            </w:pPr>
            <w:r w:rsidRPr="52EC8D6E">
              <w:rPr>
                <w:sz w:val="18"/>
                <w:szCs w:val="18"/>
              </w:rPr>
              <w:t>7 days</w:t>
            </w:r>
          </w:p>
        </w:tc>
      </w:tr>
      <w:tr w:rsidR="52EC8D6E" w14:paraId="02612B48"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4144EFF" w14:textId="60D0119C" w:rsidR="52EC8D6E" w:rsidRDefault="52EC8D6E" w:rsidP="52EC8D6E">
            <w:pPr>
              <w:ind w:left="-20" w:right="-20"/>
            </w:pPr>
            <w:r w:rsidRPr="52EC8D6E">
              <w:rPr>
                <w:sz w:val="18"/>
                <w:szCs w:val="18"/>
              </w:rPr>
              <w:t>Nadeem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BCE8501" w14:textId="3CD3BFEA"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B1E7276" w14:textId="0580F379"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4C4EF88F" w14:textId="56C82AF5"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F727D56" w14:textId="258BC14B"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8F6A720" w14:textId="0559A3DC"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3FC68654" w14:textId="6F55DE2F" w:rsidR="52EC8D6E" w:rsidRDefault="52EC8D6E" w:rsidP="52EC8D6E">
            <w:pPr>
              <w:ind w:left="-20" w:right="-20"/>
              <w:jc w:val="left"/>
            </w:pPr>
            <w:r w:rsidRPr="52EC8D6E">
              <w:rPr>
                <w:sz w:val="18"/>
                <w:szCs w:val="18"/>
              </w:rPr>
              <w:t>14 days</w:t>
            </w:r>
          </w:p>
        </w:tc>
      </w:tr>
      <w:tr w:rsidR="52EC8D6E" w14:paraId="28266B8F"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18D2D8E" w14:textId="073A5E6F" w:rsidR="52EC8D6E" w:rsidRDefault="52EC8D6E" w:rsidP="52EC8D6E">
            <w:pPr>
              <w:ind w:left="-20" w:right="-20"/>
            </w:pPr>
            <w:r w:rsidRPr="52EC8D6E">
              <w:rPr>
                <w:sz w:val="18"/>
                <w:szCs w:val="18"/>
              </w:rPr>
              <w:t>Anez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E785C29" w14:textId="793593D6"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1CD3A459" w14:textId="15950390"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00E13341" w14:textId="529701E7"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99E4BE7" w14:textId="76FA3224"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E7CFD89" w14:textId="44E81235"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4FB8E995" w14:textId="0836A2D6" w:rsidR="52EC8D6E" w:rsidRDefault="52EC8D6E" w:rsidP="52EC8D6E">
            <w:pPr>
              <w:ind w:left="-20" w:right="-20"/>
              <w:jc w:val="left"/>
            </w:pPr>
            <w:r w:rsidRPr="52EC8D6E">
              <w:rPr>
                <w:sz w:val="18"/>
                <w:szCs w:val="18"/>
              </w:rPr>
              <w:t>7 days</w:t>
            </w:r>
          </w:p>
        </w:tc>
      </w:tr>
      <w:tr w:rsidR="52EC8D6E" w14:paraId="3138D7ED"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A236540" w14:textId="3641A706" w:rsidR="52EC8D6E" w:rsidRDefault="52EC8D6E" w:rsidP="52EC8D6E">
            <w:pPr>
              <w:ind w:left="-20" w:right="-20"/>
            </w:pPr>
            <w:r w:rsidRPr="52EC8D6E">
              <w:rPr>
                <w:sz w:val="18"/>
                <w:szCs w:val="18"/>
              </w:rPr>
              <w:t>Munoz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22A2C6C" w14:textId="7D504190"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18E3C247" w14:textId="7D13AA5A"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77FC626C" w14:textId="279EA91C"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0E2BBB8" w14:textId="7C0351FD"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53732EF" w14:textId="1016728F"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39440860" w14:textId="1C9B9446" w:rsidR="52EC8D6E" w:rsidRDefault="52EC8D6E" w:rsidP="52EC8D6E">
            <w:pPr>
              <w:ind w:left="-20" w:right="-20"/>
              <w:jc w:val="left"/>
            </w:pPr>
            <w:r w:rsidRPr="52EC8D6E">
              <w:rPr>
                <w:sz w:val="18"/>
                <w:szCs w:val="18"/>
              </w:rPr>
              <w:t>7 days</w:t>
            </w:r>
          </w:p>
        </w:tc>
      </w:tr>
      <w:tr w:rsidR="52EC8D6E" w14:paraId="61EEACA5"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A86F0B6" w14:textId="6E065882" w:rsidR="52EC8D6E" w:rsidRDefault="52EC8D6E" w:rsidP="52EC8D6E">
            <w:pPr>
              <w:ind w:left="-20" w:right="-20"/>
            </w:pPr>
            <w:r w:rsidRPr="52EC8D6E">
              <w:rPr>
                <w:sz w:val="18"/>
                <w:szCs w:val="18"/>
              </w:rPr>
              <w:t>Wu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AF33ACB" w14:textId="5C0D0A3E"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2581203A" w14:textId="7C8941BC"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34E09393" w14:textId="3C193D82" w:rsidR="52EC8D6E" w:rsidRDefault="52EC8D6E" w:rsidP="52EC8D6E">
            <w:pPr>
              <w:ind w:left="-20" w:right="-20"/>
              <w:jc w:val="center"/>
            </w:pPr>
            <w:r w:rsidRPr="52EC8D6E">
              <w:rPr>
                <w:sz w:val="18"/>
                <w:szCs w:val="18"/>
              </w:rPr>
              <w:t>X</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2306253" w14:textId="3EDB69EB"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5CCDA88" w14:textId="6A21FFD8"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6E1816ED" w14:textId="34BCAF9A" w:rsidR="52EC8D6E" w:rsidRDefault="52EC8D6E" w:rsidP="52EC8D6E">
            <w:pPr>
              <w:ind w:left="-20" w:right="-20"/>
              <w:jc w:val="left"/>
            </w:pPr>
            <w:r w:rsidRPr="52EC8D6E">
              <w:rPr>
                <w:sz w:val="18"/>
                <w:szCs w:val="18"/>
              </w:rPr>
              <w:t>28 days</w:t>
            </w:r>
          </w:p>
        </w:tc>
      </w:tr>
      <w:tr w:rsidR="52EC8D6E" w14:paraId="7DC0CC11"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A09ED33" w14:textId="466D127F" w:rsidR="52EC8D6E" w:rsidRDefault="52EC8D6E" w:rsidP="52EC8D6E">
            <w:pPr>
              <w:ind w:left="-20" w:right="-20"/>
            </w:pPr>
            <w:r w:rsidRPr="52EC8D6E">
              <w:rPr>
                <w:sz w:val="18"/>
                <w:szCs w:val="18"/>
              </w:rPr>
              <w:t>Bermingham et al (2023b)</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0530F29F" w14:textId="1902AD9F"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39A5CA4C" w14:textId="571E335C"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557C87AA" w14:textId="0BEC4DFB"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87EF216" w14:textId="2DFAFE49"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862A995" w14:textId="50F85420" w:rsidR="52EC8D6E" w:rsidRDefault="52EC8D6E" w:rsidP="52EC8D6E">
            <w:pPr>
              <w:ind w:left="-20" w:right="-20"/>
              <w:jc w:val="center"/>
            </w:pPr>
            <w:r w:rsidRPr="52EC8D6E">
              <w:rPr>
                <w:sz w:val="18"/>
                <w:szCs w:val="18"/>
              </w:rPr>
              <w:t>X</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441667C8" w14:textId="4836613C" w:rsidR="52EC8D6E" w:rsidRDefault="52EC8D6E" w:rsidP="52EC8D6E">
            <w:pPr>
              <w:ind w:left="-20" w:right="-20"/>
              <w:jc w:val="left"/>
            </w:pPr>
            <w:r w:rsidRPr="52EC8D6E">
              <w:rPr>
                <w:sz w:val="18"/>
                <w:szCs w:val="18"/>
              </w:rPr>
              <w:t>21 days</w:t>
            </w:r>
          </w:p>
        </w:tc>
      </w:tr>
      <w:tr w:rsidR="52EC8D6E" w14:paraId="4DDCCDF6"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36D5C10" w14:textId="1B8C8E5F" w:rsidR="52EC8D6E" w:rsidRDefault="52EC8D6E" w:rsidP="52EC8D6E">
            <w:pPr>
              <w:ind w:left="-20" w:right="-20"/>
            </w:pPr>
            <w:r w:rsidRPr="52EC8D6E">
              <w:rPr>
                <w:sz w:val="18"/>
                <w:szCs w:val="18"/>
              </w:rPr>
              <w:t>Liu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F14D389" w14:textId="1993AF4F"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20098ECF" w14:textId="6694A177"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21DB16DF" w14:textId="2C578209"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DCEC161" w14:textId="028DAAB8"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0171E6C2" w14:textId="02B487CF"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24CD84BF" w14:textId="4EC9ABF1" w:rsidR="52EC8D6E" w:rsidRDefault="52EC8D6E" w:rsidP="52EC8D6E">
            <w:pPr>
              <w:ind w:left="-20" w:right="-20"/>
              <w:jc w:val="left"/>
            </w:pPr>
            <w:r w:rsidRPr="52EC8D6E">
              <w:rPr>
                <w:sz w:val="18"/>
                <w:szCs w:val="18"/>
              </w:rPr>
              <w:t>7 days</w:t>
            </w:r>
          </w:p>
        </w:tc>
      </w:tr>
      <w:tr w:rsidR="52EC8D6E" w14:paraId="67A857CE"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A5F2BB0" w14:textId="785F8177" w:rsidR="52EC8D6E" w:rsidRDefault="52EC8D6E" w:rsidP="52EC8D6E">
            <w:pPr>
              <w:ind w:left="-20" w:right="-20"/>
            </w:pPr>
            <w:r w:rsidRPr="52EC8D6E">
              <w:rPr>
                <w:sz w:val="18"/>
                <w:szCs w:val="18"/>
              </w:rPr>
              <w:t>Kitano et al (2023)</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470F55A7" w14:textId="55162AB7"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24AADD82" w14:textId="31DFCF9E"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36B9CD13" w14:textId="39D4F97B"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3E8C57A0" w14:textId="584F720B"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1C642BB" w14:textId="6313A557"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63FAA497" w14:textId="1358BFFB" w:rsidR="52EC8D6E" w:rsidRDefault="52EC8D6E" w:rsidP="52EC8D6E">
            <w:pPr>
              <w:ind w:left="-20" w:right="-20"/>
              <w:jc w:val="left"/>
            </w:pPr>
            <w:r w:rsidRPr="52EC8D6E">
              <w:rPr>
                <w:sz w:val="18"/>
                <w:szCs w:val="18"/>
              </w:rPr>
              <w:t>7 days / 14 days</w:t>
            </w:r>
          </w:p>
        </w:tc>
      </w:tr>
      <w:tr w:rsidR="52EC8D6E" w14:paraId="219F94EE"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C515D6A" w14:textId="391BDA9E" w:rsidR="52EC8D6E" w:rsidRDefault="52EC8D6E" w:rsidP="52EC8D6E">
            <w:pPr>
              <w:ind w:left="-20" w:right="-20"/>
            </w:pPr>
            <w:r w:rsidRPr="52EC8D6E">
              <w:rPr>
                <w:sz w:val="18"/>
                <w:szCs w:val="18"/>
              </w:rPr>
              <w:t>Polack et al (2020)</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06314D1" w14:textId="78D6B7AF"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1A29068A" w14:textId="61936EA3"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1F6788CF" w14:textId="6F400A79"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65559A01" w14:textId="5E48B6CF" w:rsidR="52EC8D6E" w:rsidRDefault="52EC8D6E" w:rsidP="52EC8D6E">
            <w:pPr>
              <w:ind w:left="-20" w:right="-20"/>
              <w:jc w:val="center"/>
            </w:pPr>
            <w:r w:rsidRPr="52EC8D6E">
              <w:rPr>
                <w:sz w:val="18"/>
                <w:szCs w:val="18"/>
              </w:rPr>
              <w:t>X</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0D9192A0" w14:textId="26E97FB2"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7DD4F4C1" w14:textId="71650369" w:rsidR="52EC8D6E" w:rsidRDefault="52EC8D6E" w:rsidP="52EC8D6E">
            <w:pPr>
              <w:ind w:left="-20" w:right="-20"/>
              <w:jc w:val="left"/>
            </w:pPr>
            <w:r w:rsidRPr="52EC8D6E">
              <w:rPr>
                <w:sz w:val="18"/>
                <w:szCs w:val="18"/>
              </w:rPr>
              <w:t>7 days</w:t>
            </w:r>
          </w:p>
        </w:tc>
      </w:tr>
      <w:tr w:rsidR="52EC8D6E" w14:paraId="418E1041" w14:textId="77777777" w:rsidTr="006D0096">
        <w:trPr>
          <w:trHeight w:val="300"/>
          <w:jc w:val="center"/>
        </w:trPr>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B678270" w14:textId="2A35F721" w:rsidR="52EC8D6E" w:rsidRDefault="52EC8D6E" w:rsidP="52EC8D6E">
            <w:pPr>
              <w:ind w:left="-20" w:right="-20"/>
            </w:pPr>
            <w:proofErr w:type="spellStart"/>
            <w:r w:rsidRPr="52EC8D6E">
              <w:rPr>
                <w:sz w:val="18"/>
                <w:szCs w:val="18"/>
              </w:rPr>
              <w:t>Khairullin</w:t>
            </w:r>
            <w:proofErr w:type="spellEnd"/>
            <w:r w:rsidRPr="52EC8D6E">
              <w:rPr>
                <w:sz w:val="18"/>
                <w:szCs w:val="18"/>
              </w:rPr>
              <w:t xml:space="preserve"> et al (2022)</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1EF48D6" w14:textId="0200EEEE" w:rsidR="52EC8D6E" w:rsidRDefault="52EC8D6E" w:rsidP="52EC8D6E">
            <w:pPr>
              <w:ind w:left="-20" w:right="-20"/>
              <w:jc w:val="center"/>
            </w:pPr>
            <w:r w:rsidRPr="52EC8D6E">
              <w:rPr>
                <w:sz w:val="18"/>
                <w:szCs w:val="18"/>
              </w:rPr>
              <w:t>X</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2243B8E3" w14:textId="1A01C809" w:rsidR="52EC8D6E" w:rsidRDefault="52EC8D6E" w:rsidP="52EC8D6E">
            <w:pPr>
              <w:ind w:left="-20" w:right="-20"/>
              <w:jc w:val="center"/>
            </w:pPr>
            <w:r w:rsidRPr="52EC8D6E">
              <w:rPr>
                <w:sz w:val="18"/>
                <w:szCs w:val="18"/>
              </w:rPr>
              <w:t xml:space="preserve"> </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49BB20E3" w14:textId="54053E2B"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B6C2E14" w14:textId="5B597A92" w:rsidR="52EC8D6E" w:rsidRDefault="52EC8D6E" w:rsidP="52EC8D6E">
            <w:pPr>
              <w:ind w:left="-20" w:right="-20"/>
              <w:jc w:val="center"/>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1D23D1B3" w14:textId="1A638099" w:rsidR="52EC8D6E" w:rsidRDefault="52EC8D6E" w:rsidP="52EC8D6E">
            <w:pPr>
              <w:ind w:left="-20" w:right="-20"/>
              <w:jc w:val="center"/>
            </w:pPr>
            <w:r w:rsidRPr="52EC8D6E">
              <w:rPr>
                <w:sz w:val="18"/>
                <w:szCs w:val="18"/>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6C55EAA1" w14:textId="3C0F5EB6" w:rsidR="52EC8D6E" w:rsidRDefault="52EC8D6E" w:rsidP="52EC8D6E">
            <w:pPr>
              <w:ind w:left="-20" w:right="-20"/>
              <w:jc w:val="left"/>
            </w:pPr>
            <w:r w:rsidRPr="52EC8D6E">
              <w:rPr>
                <w:sz w:val="18"/>
                <w:szCs w:val="18"/>
              </w:rPr>
              <w:t>14 days</w:t>
            </w:r>
          </w:p>
        </w:tc>
      </w:tr>
      <w:tr w:rsidR="52EC8D6E" w14:paraId="27A83C55" w14:textId="77777777" w:rsidTr="006D0096">
        <w:trPr>
          <w:trHeight w:val="300"/>
          <w:jc w:val="center"/>
        </w:trPr>
        <w:tc>
          <w:tcPr>
            <w:tcW w:w="2475" w:type="dxa"/>
            <w:tcBorders>
              <w:top w:val="single" w:sz="8" w:space="0" w:color="auto"/>
              <w:left w:val="nil"/>
              <w:bottom w:val="nil"/>
              <w:right w:val="single" w:sz="8" w:space="0" w:color="auto"/>
            </w:tcBorders>
            <w:tcMar>
              <w:left w:w="108" w:type="dxa"/>
              <w:right w:w="108" w:type="dxa"/>
            </w:tcMar>
          </w:tcPr>
          <w:p w14:paraId="62F72666" w14:textId="7BBA5A6B" w:rsidR="52EC8D6E" w:rsidRDefault="52EC8D6E" w:rsidP="52EC8D6E">
            <w:pPr>
              <w:ind w:left="-20" w:right="-20"/>
            </w:pPr>
            <w:r w:rsidRPr="52EC8D6E">
              <w:rPr>
                <w:sz w:val="18"/>
                <w:szCs w:val="18"/>
              </w:rPr>
              <w:t xml:space="preserve"> </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2C80D28B" w14:textId="4AF94D36" w:rsidR="52EC8D6E" w:rsidRDefault="2480EF30" w:rsidP="2480EF30">
            <w:pPr>
              <w:ind w:left="-20" w:right="-20"/>
              <w:jc w:val="center"/>
              <w:rPr>
                <w:b/>
                <w:bCs/>
                <w:sz w:val="18"/>
                <w:szCs w:val="18"/>
              </w:rPr>
            </w:pPr>
            <w:r w:rsidRPr="2480EF30">
              <w:rPr>
                <w:b/>
                <w:bCs/>
                <w:sz w:val="18"/>
                <w:szCs w:val="18"/>
              </w:rPr>
              <w:t>39</w:t>
            </w:r>
          </w:p>
        </w:tc>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3BFCD9A2" w14:textId="2828FBBE" w:rsidR="52EC8D6E" w:rsidRDefault="52EC8D6E" w:rsidP="52EC8D6E">
            <w:pPr>
              <w:ind w:left="-20" w:right="-20"/>
              <w:jc w:val="center"/>
            </w:pPr>
            <w:r w:rsidRPr="52EC8D6E">
              <w:rPr>
                <w:b/>
                <w:bCs/>
                <w:sz w:val="18"/>
                <w:szCs w:val="18"/>
              </w:rPr>
              <w:t>4</w:t>
            </w:r>
          </w:p>
        </w:tc>
        <w:tc>
          <w:tcPr>
            <w:tcW w:w="480" w:type="dxa"/>
            <w:tcBorders>
              <w:top w:val="single" w:sz="8" w:space="0" w:color="auto"/>
              <w:left w:val="single" w:sz="8" w:space="0" w:color="auto"/>
              <w:bottom w:val="single" w:sz="8" w:space="0" w:color="auto"/>
              <w:right w:val="single" w:sz="8" w:space="0" w:color="auto"/>
            </w:tcBorders>
            <w:tcMar>
              <w:left w:w="108" w:type="dxa"/>
              <w:right w:w="108" w:type="dxa"/>
            </w:tcMar>
          </w:tcPr>
          <w:p w14:paraId="53456C47" w14:textId="732D93CE" w:rsidR="52EC8D6E" w:rsidRDefault="52EC8D6E" w:rsidP="52EC8D6E">
            <w:pPr>
              <w:ind w:left="-20" w:right="-20"/>
              <w:jc w:val="center"/>
            </w:pPr>
            <w:r w:rsidRPr="52EC8D6E">
              <w:rPr>
                <w:b/>
                <w:bCs/>
                <w:sz w:val="18"/>
                <w:szCs w:val="18"/>
              </w:rPr>
              <w:t>5</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5CEDCC88" w14:textId="7B6E4AA6" w:rsidR="52EC8D6E" w:rsidRDefault="52EC8D6E" w:rsidP="52EC8D6E">
            <w:pPr>
              <w:ind w:left="-20" w:right="-20"/>
              <w:jc w:val="center"/>
            </w:pPr>
            <w:r w:rsidRPr="52EC8D6E">
              <w:rPr>
                <w:b/>
                <w:bCs/>
                <w:sz w:val="18"/>
                <w:szCs w:val="18"/>
              </w:rPr>
              <w:t>4</w:t>
            </w:r>
          </w:p>
        </w:tc>
        <w:tc>
          <w:tcPr>
            <w:tcW w:w="495" w:type="dxa"/>
            <w:tcBorders>
              <w:top w:val="single" w:sz="8" w:space="0" w:color="auto"/>
              <w:left w:val="single" w:sz="8" w:space="0" w:color="auto"/>
              <w:bottom w:val="single" w:sz="8" w:space="0" w:color="auto"/>
              <w:right w:val="single" w:sz="8" w:space="0" w:color="auto"/>
            </w:tcBorders>
            <w:tcMar>
              <w:left w:w="108" w:type="dxa"/>
              <w:right w:w="108" w:type="dxa"/>
            </w:tcMar>
          </w:tcPr>
          <w:p w14:paraId="7EA6F5D3" w14:textId="1A86EB50" w:rsidR="52EC8D6E" w:rsidRDefault="52EC8D6E" w:rsidP="52EC8D6E">
            <w:pPr>
              <w:ind w:left="-20" w:right="-20"/>
              <w:jc w:val="center"/>
            </w:pPr>
            <w:r w:rsidRPr="52EC8D6E">
              <w:rPr>
                <w:b/>
                <w:bCs/>
                <w:sz w:val="18"/>
                <w:szCs w:val="18"/>
              </w:rPr>
              <w:t>2</w:t>
            </w:r>
          </w:p>
        </w:tc>
        <w:tc>
          <w:tcPr>
            <w:tcW w:w="2130" w:type="dxa"/>
            <w:tcBorders>
              <w:top w:val="single" w:sz="8" w:space="0" w:color="auto"/>
              <w:left w:val="single" w:sz="8" w:space="0" w:color="auto"/>
              <w:bottom w:val="nil"/>
              <w:right w:val="nil"/>
            </w:tcBorders>
            <w:tcMar>
              <w:left w:w="108" w:type="dxa"/>
              <w:right w:w="108" w:type="dxa"/>
            </w:tcMar>
          </w:tcPr>
          <w:p w14:paraId="46C6E085" w14:textId="47D339E0" w:rsidR="52EC8D6E" w:rsidRDefault="52EC8D6E" w:rsidP="52EC8D6E">
            <w:pPr>
              <w:ind w:left="-20" w:right="-20"/>
              <w:jc w:val="left"/>
              <w:rPr>
                <w:sz w:val="18"/>
                <w:szCs w:val="18"/>
              </w:rPr>
            </w:pPr>
          </w:p>
        </w:tc>
      </w:tr>
    </w:tbl>
    <w:p w14:paraId="6BB1F7F5" w14:textId="5C5B4D8D" w:rsidR="52EC8D6E" w:rsidRDefault="52EC8D6E" w:rsidP="52EC8D6E"/>
    <w:p w14:paraId="311C7853" w14:textId="13D8EB64" w:rsidR="00C43F94" w:rsidRPr="00E05FC4" w:rsidRDefault="3187830C" w:rsidP="3187830C">
      <w:pPr>
        <w:pStyle w:val="Heading1"/>
        <w:rPr>
          <w:sz w:val="20"/>
          <w:szCs w:val="20"/>
        </w:rPr>
      </w:pPr>
      <w:r>
        <w:t>5. Simulation</w:t>
      </w:r>
      <w:r w:rsidR="00D908A3">
        <w:t xml:space="preserve"> of vaccine effectiveness</w:t>
      </w:r>
    </w:p>
    <w:p w14:paraId="09CCED0C" w14:textId="0C7B6F54" w:rsidR="00AA1318" w:rsidRDefault="00761D40" w:rsidP="00AA1318">
      <w:pPr>
        <w:rPr>
          <w:szCs w:val="20"/>
        </w:rPr>
      </w:pPr>
      <w:r>
        <w:rPr>
          <w:szCs w:val="20"/>
        </w:rPr>
        <w:t>We used a</w:t>
      </w:r>
      <w:r w:rsidR="00FC74ED">
        <w:rPr>
          <w:szCs w:val="20"/>
        </w:rPr>
        <w:t xml:space="preserve"> </w:t>
      </w:r>
      <w:r w:rsidR="00867560">
        <w:rPr>
          <w:szCs w:val="20"/>
        </w:rPr>
        <w:t xml:space="preserve">deterministic temporal </w:t>
      </w:r>
      <w:r w:rsidR="00FC74ED">
        <w:rPr>
          <w:szCs w:val="20"/>
        </w:rPr>
        <w:t>simulation t</w:t>
      </w:r>
      <w:r w:rsidR="004B1DCA">
        <w:rPr>
          <w:szCs w:val="20"/>
        </w:rPr>
        <w:t>o illustrate the effects of the miscategorisation selection bias</w:t>
      </w:r>
      <w:r w:rsidR="00FC74ED">
        <w:rPr>
          <w:szCs w:val="20"/>
        </w:rPr>
        <w:t xml:space="preserve"> on </w:t>
      </w:r>
      <w:r w:rsidR="00C87B8C">
        <w:rPr>
          <w:szCs w:val="20"/>
        </w:rPr>
        <w:t>vaccine effectiveness and the reported infection rates for different cohorts</w:t>
      </w:r>
      <w:r w:rsidR="00867560">
        <w:rPr>
          <w:szCs w:val="20"/>
        </w:rPr>
        <w:t>, vaccinated and unvaccinated</w:t>
      </w:r>
      <w:r w:rsidR="00C87B8C">
        <w:rPr>
          <w:szCs w:val="20"/>
        </w:rPr>
        <w:t>.</w:t>
      </w:r>
      <w:r w:rsidR="00AA1318" w:rsidRPr="00AA1318">
        <w:rPr>
          <w:szCs w:val="20"/>
        </w:rPr>
        <w:t xml:space="preserve"> </w:t>
      </w:r>
      <w:r w:rsidR="00AA1318">
        <w:rPr>
          <w:szCs w:val="20"/>
        </w:rPr>
        <w:t xml:space="preserve">We simulated a </w:t>
      </w:r>
      <w:r w:rsidR="009F3ACE">
        <w:rPr>
          <w:szCs w:val="20"/>
        </w:rPr>
        <w:t xml:space="preserve">hypothetical </w:t>
      </w:r>
      <w:r w:rsidR="00AA1318">
        <w:rPr>
          <w:szCs w:val="20"/>
        </w:rPr>
        <w:t xml:space="preserve">vaccination campaign starting at week 1 and completing on week 6 with 85% of the </w:t>
      </w:r>
      <w:r w:rsidR="00BD6F9B">
        <w:rPr>
          <w:szCs w:val="20"/>
        </w:rPr>
        <w:t xml:space="preserve">observed </w:t>
      </w:r>
      <w:r w:rsidR="00AA1318">
        <w:rPr>
          <w:szCs w:val="20"/>
        </w:rPr>
        <w:t xml:space="preserve">population vaccinated </w:t>
      </w:r>
      <w:r w:rsidR="009F3ACE">
        <w:rPr>
          <w:szCs w:val="20"/>
        </w:rPr>
        <w:t>by</w:t>
      </w:r>
      <w:r w:rsidR="00AA1318">
        <w:rPr>
          <w:szCs w:val="20"/>
        </w:rPr>
        <w:t xml:space="preserve"> that time.</w:t>
      </w:r>
    </w:p>
    <w:p w14:paraId="776E1A3C" w14:textId="77777777" w:rsidR="00AA1318" w:rsidRDefault="00AA1318" w:rsidP="00525275">
      <w:pPr>
        <w:rPr>
          <w:szCs w:val="20"/>
        </w:rPr>
      </w:pPr>
    </w:p>
    <w:p w14:paraId="18C2DF2A" w14:textId="2B62A40A" w:rsidR="00AC1030" w:rsidRDefault="00C87B8C" w:rsidP="00525275">
      <w:pPr>
        <w:rPr>
          <w:szCs w:val="20"/>
        </w:rPr>
      </w:pPr>
      <w:r>
        <w:rPr>
          <w:szCs w:val="20"/>
        </w:rPr>
        <w:t xml:space="preserve">Here we examine </w:t>
      </w:r>
      <w:r w:rsidR="00867560">
        <w:rPr>
          <w:szCs w:val="20"/>
        </w:rPr>
        <w:t>several</w:t>
      </w:r>
      <w:r>
        <w:rPr>
          <w:szCs w:val="20"/>
        </w:rPr>
        <w:t xml:space="preserve"> scenarios</w:t>
      </w:r>
      <w:r w:rsidR="001835EF">
        <w:rPr>
          <w:szCs w:val="20"/>
        </w:rPr>
        <w:t xml:space="preserve"> </w:t>
      </w:r>
      <w:r w:rsidR="00FB042F">
        <w:rPr>
          <w:szCs w:val="20"/>
        </w:rPr>
        <w:t>showing</w:t>
      </w:r>
      <w:r w:rsidR="001835EF">
        <w:rPr>
          <w:szCs w:val="20"/>
        </w:rPr>
        <w:t xml:space="preserve"> the effect of a one-week, two-week and three-week </w:t>
      </w:r>
      <w:r w:rsidR="005906FD">
        <w:rPr>
          <w:szCs w:val="20"/>
        </w:rPr>
        <w:t xml:space="preserve">selection biases for </w:t>
      </w:r>
      <w:r w:rsidR="001835EF">
        <w:rPr>
          <w:szCs w:val="20"/>
        </w:rPr>
        <w:t xml:space="preserve">miscategorisation </w:t>
      </w:r>
      <w:r w:rsidR="00FB042F">
        <w:rPr>
          <w:szCs w:val="20"/>
        </w:rPr>
        <w:t xml:space="preserve">(a) and </w:t>
      </w:r>
      <w:r w:rsidR="005906FD">
        <w:rPr>
          <w:szCs w:val="20"/>
        </w:rPr>
        <w:t xml:space="preserve">exclusion </w:t>
      </w:r>
      <w:r w:rsidR="00FB042F">
        <w:rPr>
          <w:szCs w:val="20"/>
        </w:rPr>
        <w:t>(c)</w:t>
      </w:r>
      <w:r w:rsidR="005906FD">
        <w:rPr>
          <w:szCs w:val="20"/>
        </w:rPr>
        <w:t xml:space="preserve"> </w:t>
      </w:r>
      <w:r w:rsidR="00563490">
        <w:rPr>
          <w:szCs w:val="20"/>
        </w:rPr>
        <w:t>and</w:t>
      </w:r>
      <w:r w:rsidR="005906FD">
        <w:rPr>
          <w:szCs w:val="20"/>
        </w:rPr>
        <w:t xml:space="preserve"> the effects of repeated vaccination, by boosting, on </w:t>
      </w:r>
      <w:r w:rsidR="00867560">
        <w:rPr>
          <w:szCs w:val="20"/>
        </w:rPr>
        <w:t>vaccine efficacy and infection reported rates.</w:t>
      </w:r>
      <w:r w:rsidR="00AA1318">
        <w:rPr>
          <w:szCs w:val="20"/>
        </w:rPr>
        <w:t xml:space="preserve"> Two</w:t>
      </w:r>
      <w:r w:rsidR="00563490">
        <w:rPr>
          <w:szCs w:val="20"/>
        </w:rPr>
        <w:t xml:space="preserve"> scenarios present </w:t>
      </w:r>
      <w:r w:rsidR="00D83DE8">
        <w:rPr>
          <w:szCs w:val="20"/>
        </w:rPr>
        <w:t>a placebo</w:t>
      </w:r>
      <w:r w:rsidR="007602C1">
        <w:rPr>
          <w:szCs w:val="20"/>
        </w:rPr>
        <w:t xml:space="preserve"> (zero</w:t>
      </w:r>
      <w:r w:rsidR="00AB2C72">
        <w:rPr>
          <w:szCs w:val="20"/>
        </w:rPr>
        <w:t>-</w:t>
      </w:r>
      <w:r w:rsidR="007602C1">
        <w:rPr>
          <w:szCs w:val="20"/>
        </w:rPr>
        <w:t>efficacy)</w:t>
      </w:r>
      <w:r w:rsidR="00D83DE8">
        <w:rPr>
          <w:szCs w:val="20"/>
        </w:rPr>
        <w:t xml:space="preserve"> vaccine, which does not affect infection rates</w:t>
      </w:r>
      <w:r w:rsidR="001E7400">
        <w:rPr>
          <w:szCs w:val="20"/>
        </w:rPr>
        <w:t xml:space="preserve">, and </w:t>
      </w:r>
      <w:r w:rsidR="00563490">
        <w:rPr>
          <w:szCs w:val="20"/>
        </w:rPr>
        <w:t xml:space="preserve">compare this with </w:t>
      </w:r>
      <w:r w:rsidR="001E7400">
        <w:rPr>
          <w:szCs w:val="20"/>
        </w:rPr>
        <w:t>a negative</w:t>
      </w:r>
      <w:r w:rsidR="00AB2C72">
        <w:rPr>
          <w:szCs w:val="20"/>
        </w:rPr>
        <w:t>-</w:t>
      </w:r>
      <w:r w:rsidR="001E7400">
        <w:rPr>
          <w:szCs w:val="20"/>
        </w:rPr>
        <w:t>efficacy</w:t>
      </w:r>
      <w:r w:rsidR="00AB2C72">
        <w:rPr>
          <w:szCs w:val="20"/>
        </w:rPr>
        <w:t xml:space="preserve"> </w:t>
      </w:r>
      <w:r w:rsidR="001E7400">
        <w:rPr>
          <w:szCs w:val="20"/>
        </w:rPr>
        <w:t>vaccine, whereby those vaccinated suffer slightly elevated infection rates</w:t>
      </w:r>
      <w:r w:rsidR="00563490">
        <w:rPr>
          <w:szCs w:val="20"/>
        </w:rPr>
        <w:t xml:space="preserve"> compared to the unvaccinated</w:t>
      </w:r>
      <w:r w:rsidR="001E7400">
        <w:rPr>
          <w:szCs w:val="20"/>
        </w:rPr>
        <w:t>.</w:t>
      </w:r>
    </w:p>
    <w:p w14:paraId="1260FD7E" w14:textId="77777777" w:rsidR="00D50768" w:rsidRDefault="00D50768" w:rsidP="00525275">
      <w:pPr>
        <w:rPr>
          <w:szCs w:val="20"/>
        </w:rPr>
      </w:pPr>
    </w:p>
    <w:p w14:paraId="72CC21F3" w14:textId="0ED38AA9" w:rsidR="00AC1030" w:rsidRDefault="00AC1030" w:rsidP="00525275">
      <w:pPr>
        <w:rPr>
          <w:szCs w:val="20"/>
        </w:rPr>
      </w:pPr>
      <w:r>
        <w:rPr>
          <w:szCs w:val="20"/>
        </w:rPr>
        <w:t xml:space="preserve">Note that </w:t>
      </w:r>
      <w:r w:rsidR="00E6409C">
        <w:rPr>
          <w:szCs w:val="20"/>
        </w:rPr>
        <w:t xml:space="preserve">observational </w:t>
      </w:r>
      <w:r>
        <w:rPr>
          <w:szCs w:val="20"/>
        </w:rPr>
        <w:t xml:space="preserve">studies </w:t>
      </w:r>
      <w:r w:rsidR="005045ED">
        <w:rPr>
          <w:szCs w:val="20"/>
        </w:rPr>
        <w:t>might</w:t>
      </w:r>
      <w:r>
        <w:rPr>
          <w:szCs w:val="20"/>
        </w:rPr>
        <w:t xml:space="preserve"> suffer from many sources of additional confounding biases so this model is </w:t>
      </w:r>
      <w:r w:rsidR="003E1586">
        <w:rPr>
          <w:szCs w:val="20"/>
        </w:rPr>
        <w:t xml:space="preserve">a </w:t>
      </w:r>
      <w:r>
        <w:rPr>
          <w:szCs w:val="20"/>
        </w:rPr>
        <w:t>simpli</w:t>
      </w:r>
      <w:r w:rsidR="003E1586">
        <w:rPr>
          <w:szCs w:val="20"/>
        </w:rPr>
        <w:t>fication and should not be taken as representative of population level data</w:t>
      </w:r>
      <w:r w:rsidR="008C73D3">
        <w:rPr>
          <w:szCs w:val="20"/>
        </w:rPr>
        <w:t>.</w:t>
      </w:r>
    </w:p>
    <w:p w14:paraId="185F9950" w14:textId="77777777" w:rsidR="003A073B" w:rsidRDefault="003A073B" w:rsidP="00525275">
      <w:pPr>
        <w:rPr>
          <w:szCs w:val="20"/>
        </w:rPr>
      </w:pPr>
    </w:p>
    <w:p w14:paraId="7CF55D04" w14:textId="317C1FF5" w:rsidR="003A073B" w:rsidRDefault="003A073B" w:rsidP="00525275">
      <w:pPr>
        <w:rPr>
          <w:szCs w:val="20"/>
        </w:rPr>
      </w:pPr>
      <w:r>
        <w:rPr>
          <w:szCs w:val="20"/>
        </w:rPr>
        <w:t xml:space="preserve">The scenarios </w:t>
      </w:r>
      <w:r w:rsidR="004C0819">
        <w:rPr>
          <w:szCs w:val="20"/>
        </w:rPr>
        <w:t xml:space="preserve">simulated </w:t>
      </w:r>
      <w:r w:rsidR="007A4A56">
        <w:rPr>
          <w:szCs w:val="20"/>
        </w:rPr>
        <w:t xml:space="preserve">cover </w:t>
      </w:r>
      <w:r w:rsidR="00324F63">
        <w:rPr>
          <w:szCs w:val="20"/>
        </w:rPr>
        <w:t>an</w:t>
      </w:r>
      <w:r w:rsidR="007A4A56">
        <w:rPr>
          <w:szCs w:val="20"/>
        </w:rPr>
        <w:t xml:space="preserve"> </w:t>
      </w:r>
      <w:r w:rsidR="00324F63">
        <w:rPr>
          <w:szCs w:val="20"/>
        </w:rPr>
        <w:t>eleven-week</w:t>
      </w:r>
      <w:r w:rsidR="007A4A56">
        <w:rPr>
          <w:szCs w:val="20"/>
        </w:rPr>
        <w:t xml:space="preserve"> period with an assumed constant weekly infection rate of 1%</w:t>
      </w:r>
      <w:r w:rsidR="00860AC0">
        <w:rPr>
          <w:szCs w:val="20"/>
        </w:rPr>
        <w:t xml:space="preserve"> in the placebo </w:t>
      </w:r>
      <w:r w:rsidR="00CA1EFC">
        <w:rPr>
          <w:szCs w:val="20"/>
        </w:rPr>
        <w:t>scenario</w:t>
      </w:r>
      <w:r w:rsidR="00860AC0">
        <w:rPr>
          <w:szCs w:val="20"/>
        </w:rPr>
        <w:t xml:space="preserve">, and </w:t>
      </w:r>
      <w:r w:rsidR="00324F63">
        <w:rPr>
          <w:szCs w:val="20"/>
        </w:rPr>
        <w:t xml:space="preserve">a slightly elevated infection rate, </w:t>
      </w:r>
      <w:r w:rsidR="00860AC0">
        <w:rPr>
          <w:szCs w:val="20"/>
        </w:rPr>
        <w:t>1.25%</w:t>
      </w:r>
      <w:r w:rsidR="00324F63">
        <w:rPr>
          <w:szCs w:val="20"/>
        </w:rPr>
        <w:t>,</w:t>
      </w:r>
      <w:r w:rsidR="00860AC0">
        <w:rPr>
          <w:szCs w:val="20"/>
        </w:rPr>
        <w:t xml:space="preserve"> for the vaccinated cohort in the negative</w:t>
      </w:r>
      <w:r w:rsidR="00AB2C72">
        <w:rPr>
          <w:szCs w:val="20"/>
        </w:rPr>
        <w:t>-</w:t>
      </w:r>
      <w:r w:rsidR="00860AC0">
        <w:rPr>
          <w:szCs w:val="20"/>
        </w:rPr>
        <w:t>efficacy</w:t>
      </w:r>
      <w:r w:rsidR="00CA1EFC">
        <w:rPr>
          <w:szCs w:val="20"/>
        </w:rPr>
        <w:t xml:space="preserve"> scenario</w:t>
      </w:r>
      <w:r w:rsidR="00860AC0">
        <w:rPr>
          <w:szCs w:val="20"/>
        </w:rPr>
        <w:t>.</w:t>
      </w:r>
      <w:r>
        <w:rPr>
          <w:szCs w:val="20"/>
        </w:rPr>
        <w:t xml:space="preserve"> </w:t>
      </w:r>
      <w:r w:rsidR="00CA1EFC">
        <w:rPr>
          <w:szCs w:val="20"/>
        </w:rPr>
        <w:t>This is used in both the miscategorisation</w:t>
      </w:r>
      <w:r w:rsidR="003F1266">
        <w:rPr>
          <w:szCs w:val="20"/>
        </w:rPr>
        <w:t>, (a),</w:t>
      </w:r>
      <w:r w:rsidR="00CA1EFC">
        <w:rPr>
          <w:szCs w:val="20"/>
        </w:rPr>
        <w:t xml:space="preserve"> and excluded</w:t>
      </w:r>
      <w:r w:rsidR="003F1266">
        <w:rPr>
          <w:szCs w:val="20"/>
        </w:rPr>
        <w:t>, (c),</w:t>
      </w:r>
      <w:r w:rsidR="00CA1EFC">
        <w:rPr>
          <w:szCs w:val="20"/>
        </w:rPr>
        <w:t xml:space="preserve"> simulations. </w:t>
      </w:r>
      <w:r w:rsidR="00255BC7">
        <w:rPr>
          <w:szCs w:val="20"/>
        </w:rPr>
        <w:t xml:space="preserve">To simulate the effects of boosters we </w:t>
      </w:r>
      <w:r w:rsidR="00001EDB">
        <w:rPr>
          <w:szCs w:val="20"/>
        </w:rPr>
        <w:t>assume a population that is repeatedly vaccinated every twelve weeks</w:t>
      </w:r>
      <w:r w:rsidR="003B0E2F">
        <w:rPr>
          <w:szCs w:val="20"/>
        </w:rPr>
        <w:t xml:space="preserve">, with those who are vaccinated miscategorised (a) within one week of </w:t>
      </w:r>
      <w:r w:rsidR="00556EE6">
        <w:rPr>
          <w:szCs w:val="20"/>
        </w:rPr>
        <w:t>each</w:t>
      </w:r>
      <w:r w:rsidR="003B0E2F">
        <w:rPr>
          <w:szCs w:val="20"/>
        </w:rPr>
        <w:t xml:space="preserve"> vaccination</w:t>
      </w:r>
      <w:r w:rsidR="00001EDB">
        <w:rPr>
          <w:szCs w:val="20"/>
        </w:rPr>
        <w:t>.</w:t>
      </w:r>
    </w:p>
    <w:p w14:paraId="74C4B15A" w14:textId="77777777" w:rsidR="003B0E2F" w:rsidRDefault="003B0E2F" w:rsidP="00525275">
      <w:pPr>
        <w:rPr>
          <w:szCs w:val="20"/>
        </w:rPr>
      </w:pPr>
    </w:p>
    <w:p w14:paraId="56524E4D" w14:textId="2C4F7B73" w:rsidR="003B0E2F" w:rsidRDefault="003B0E2F" w:rsidP="00525275">
      <w:pPr>
        <w:rPr>
          <w:szCs w:val="20"/>
        </w:rPr>
      </w:pPr>
      <w:r>
        <w:rPr>
          <w:szCs w:val="20"/>
        </w:rPr>
        <w:lastRenderedPageBreak/>
        <w:t xml:space="preserve">The results of the </w:t>
      </w:r>
      <w:r w:rsidR="00541043">
        <w:rPr>
          <w:szCs w:val="20"/>
        </w:rPr>
        <w:t>five scenarios are presented in Figure 1.</w:t>
      </w:r>
    </w:p>
    <w:p w14:paraId="24F46649" w14:textId="77777777" w:rsidR="00541043" w:rsidRDefault="00541043" w:rsidP="00525275">
      <w:pPr>
        <w:rPr>
          <w:szCs w:val="20"/>
        </w:rPr>
      </w:pPr>
    </w:p>
    <w:p w14:paraId="053580C8" w14:textId="08DE6149" w:rsidR="00541043" w:rsidRDefault="00D1645A" w:rsidP="00E95FB1">
      <w:pPr>
        <w:jc w:val="center"/>
      </w:pPr>
      <w:r>
        <w:rPr>
          <w:noProof/>
        </w:rPr>
        <w:drawing>
          <wp:inline distT="0" distB="0" distL="0" distR="0" wp14:anchorId="4DD1D480" wp14:editId="3626E73A">
            <wp:extent cx="4267200" cy="3761862"/>
            <wp:effectExtent l="0" t="0" r="0" b="5715"/>
            <wp:docPr id="5211677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267200" cy="3761862"/>
                    </a:xfrm>
                    <a:prstGeom prst="rect">
                      <a:avLst/>
                    </a:prstGeom>
                  </pic:spPr>
                </pic:pic>
              </a:graphicData>
            </a:graphic>
          </wp:inline>
        </w:drawing>
      </w:r>
    </w:p>
    <w:p w14:paraId="64CCEF55" w14:textId="77777777" w:rsidR="00541043" w:rsidRDefault="00541043" w:rsidP="00525275">
      <w:pPr>
        <w:rPr>
          <w:szCs w:val="20"/>
        </w:rPr>
      </w:pPr>
    </w:p>
    <w:p w14:paraId="063FD969" w14:textId="54DDD730" w:rsidR="00541043" w:rsidRPr="00A02D0D" w:rsidRDefault="00541043" w:rsidP="00A02D0D">
      <w:pPr>
        <w:jc w:val="center"/>
        <w:rPr>
          <w:b/>
          <w:bCs/>
          <w:sz w:val="16"/>
          <w:szCs w:val="16"/>
        </w:rPr>
      </w:pPr>
      <w:r w:rsidRPr="00A02D0D">
        <w:rPr>
          <w:b/>
          <w:bCs/>
          <w:sz w:val="16"/>
          <w:szCs w:val="16"/>
        </w:rPr>
        <w:t>Figure 1</w:t>
      </w:r>
      <w:r w:rsidR="009A2D4C" w:rsidRPr="00A02D0D">
        <w:rPr>
          <w:b/>
          <w:bCs/>
          <w:sz w:val="16"/>
          <w:szCs w:val="16"/>
        </w:rPr>
        <w:t xml:space="preserve"> Five scenarios A-E</w:t>
      </w:r>
      <w:r w:rsidR="00DC2FC1" w:rsidRPr="00A02D0D">
        <w:rPr>
          <w:b/>
          <w:bCs/>
          <w:sz w:val="16"/>
          <w:szCs w:val="16"/>
        </w:rPr>
        <w:t>. A: Miscategorisation, (a) with placebo vaccine; B: Misca</w:t>
      </w:r>
      <w:r w:rsidR="00960CD3" w:rsidRPr="00A02D0D">
        <w:rPr>
          <w:b/>
          <w:bCs/>
          <w:sz w:val="16"/>
          <w:szCs w:val="16"/>
        </w:rPr>
        <w:t>te</w:t>
      </w:r>
      <w:r w:rsidR="00DC2FC1" w:rsidRPr="00A02D0D">
        <w:rPr>
          <w:b/>
          <w:bCs/>
          <w:sz w:val="16"/>
          <w:szCs w:val="16"/>
        </w:rPr>
        <w:t>gorisation, (a)</w:t>
      </w:r>
      <w:r w:rsidR="00960CD3" w:rsidRPr="00A02D0D">
        <w:rPr>
          <w:b/>
          <w:bCs/>
          <w:sz w:val="16"/>
          <w:szCs w:val="16"/>
        </w:rPr>
        <w:t>,</w:t>
      </w:r>
      <w:r w:rsidR="00DC2FC1" w:rsidRPr="00A02D0D">
        <w:rPr>
          <w:b/>
          <w:bCs/>
          <w:sz w:val="16"/>
          <w:szCs w:val="16"/>
        </w:rPr>
        <w:t xml:space="preserve"> with negative efficacy vaccine</w:t>
      </w:r>
      <w:r w:rsidR="00960CD3" w:rsidRPr="00A02D0D">
        <w:rPr>
          <w:b/>
          <w:bCs/>
          <w:sz w:val="16"/>
          <w:szCs w:val="16"/>
        </w:rPr>
        <w:t>; C: Exclusion, (c) with placebo vaccine</w:t>
      </w:r>
      <w:r w:rsidR="00FA490E" w:rsidRPr="00A02D0D">
        <w:rPr>
          <w:b/>
          <w:bCs/>
          <w:sz w:val="16"/>
          <w:szCs w:val="16"/>
        </w:rPr>
        <w:t>; D: Exclusion, (c), with negative efficacy vaccine; E: Bo</w:t>
      </w:r>
      <w:r w:rsidR="00A02D0D" w:rsidRPr="00A02D0D">
        <w:rPr>
          <w:b/>
          <w:bCs/>
          <w:sz w:val="16"/>
          <w:szCs w:val="16"/>
        </w:rPr>
        <w:t>o</w:t>
      </w:r>
      <w:r w:rsidR="00FA490E" w:rsidRPr="00A02D0D">
        <w:rPr>
          <w:b/>
          <w:bCs/>
          <w:sz w:val="16"/>
          <w:szCs w:val="16"/>
        </w:rPr>
        <w:t>st</w:t>
      </w:r>
      <w:r w:rsidR="00A02D0D" w:rsidRPr="00A02D0D">
        <w:rPr>
          <w:b/>
          <w:bCs/>
          <w:sz w:val="16"/>
          <w:szCs w:val="16"/>
        </w:rPr>
        <w:t>i</w:t>
      </w:r>
      <w:r w:rsidR="00FA490E" w:rsidRPr="00A02D0D">
        <w:rPr>
          <w:b/>
          <w:bCs/>
          <w:sz w:val="16"/>
          <w:szCs w:val="16"/>
        </w:rPr>
        <w:t>ng with miscategorisation, (a)</w:t>
      </w:r>
      <w:r w:rsidR="00A02D0D" w:rsidRPr="00A02D0D">
        <w:rPr>
          <w:b/>
          <w:bCs/>
          <w:sz w:val="16"/>
          <w:szCs w:val="16"/>
        </w:rPr>
        <w:t>, with placebo vaccine</w:t>
      </w:r>
    </w:p>
    <w:p w14:paraId="4EE946FB" w14:textId="77777777" w:rsidR="003B0E2F" w:rsidRDefault="003B0E2F" w:rsidP="00525275">
      <w:pPr>
        <w:rPr>
          <w:szCs w:val="20"/>
        </w:rPr>
      </w:pPr>
    </w:p>
    <w:p w14:paraId="1BF56D58" w14:textId="77777777" w:rsidR="00563490" w:rsidRDefault="00563490" w:rsidP="00525275">
      <w:pPr>
        <w:rPr>
          <w:szCs w:val="20"/>
        </w:rPr>
      </w:pPr>
    </w:p>
    <w:p w14:paraId="1A8E05D4" w14:textId="044D7962" w:rsidR="3187830C" w:rsidRDefault="3187830C" w:rsidP="3187830C">
      <w:r>
        <w:t xml:space="preserve">In practice, </w:t>
      </w:r>
      <w:r w:rsidR="008756C5">
        <w:t>most</w:t>
      </w:r>
      <w:r>
        <w:t xml:space="preserve"> studies do not report vaccine efficacy in the initial week(s) (when no cases are </w:t>
      </w:r>
      <w:r w:rsidR="00745C8C">
        <w:t>categorised</w:t>
      </w:r>
      <w:r>
        <w:t xml:space="preserve"> as vaccinated) as this would show up as 100% efficacy. However, note that in all scenarios in the first weeks where efficacy would be reported the starting point</w:t>
      </w:r>
      <w:r w:rsidR="00761D40">
        <w:t xml:space="preserve"> for efficacy</w:t>
      </w:r>
      <w:r>
        <w:t xml:space="preserve"> is over 90%.</w:t>
      </w:r>
    </w:p>
    <w:p w14:paraId="58BA6D0F" w14:textId="0A492DB6" w:rsidR="3187830C" w:rsidRDefault="3187830C" w:rsidP="3187830C"/>
    <w:p w14:paraId="29E1C2E2" w14:textId="12991894" w:rsidR="004B1DCA" w:rsidRDefault="12B34A52" w:rsidP="3187830C">
      <w:r>
        <w:t>In scenario A, miscategorisation, (a), with a placebo, high vaccine effectiveness falls towards zero after one, two or three-week periods, accompanied by an increase in the reported infection rate for the unvaccinated cohort from the start of the vaccination campaign. After seven weeks the reported infection rates for the vaccinated and unvaccinated cohorts converge on the true infection rate. In scenario B, miscategorisation, (a), with a negative effectiveness vaccine, the reported vaccine effectiveness is negative from week six onwards, and again the reported infection rate for the unvaccinated is overestimated from the start of the vaccination campaign. However, by the end of the campaign the reported infection rates for the vaccinated would be greater than that for the unvaccinated.</w:t>
      </w:r>
    </w:p>
    <w:p w14:paraId="1FB27116" w14:textId="77777777" w:rsidR="00490326" w:rsidRDefault="00490326" w:rsidP="00525275">
      <w:pPr>
        <w:rPr>
          <w:szCs w:val="20"/>
        </w:rPr>
      </w:pPr>
    </w:p>
    <w:p w14:paraId="155CE49F" w14:textId="3BF5FEBE" w:rsidR="00AB0B49" w:rsidRDefault="12B34A52" w:rsidP="00525275">
      <w:r>
        <w:t>Scenarios C and D are simply the same as scenarios A and B, except for the fact that they are for the excluded</w:t>
      </w:r>
      <w:r w:rsidR="0002588C">
        <w:t xml:space="preserve"> type</w:t>
      </w:r>
      <w:r>
        <w:t xml:space="preserve">, (c), </w:t>
      </w:r>
      <w:r w:rsidR="0002588C">
        <w:t xml:space="preserve">of </w:t>
      </w:r>
      <w:r>
        <w:t>selection bias. Note that here the reported infection rate for the vaccinated remains unbiased whilst that for the vaccinated rises to match the true rate for the placebo and negative efficacy scenarios.</w:t>
      </w:r>
    </w:p>
    <w:p w14:paraId="5CB8C186" w14:textId="77777777" w:rsidR="00AB0B49" w:rsidRDefault="00AB0B49" w:rsidP="00525275">
      <w:pPr>
        <w:rPr>
          <w:szCs w:val="20"/>
        </w:rPr>
      </w:pPr>
    </w:p>
    <w:p w14:paraId="76F2D906" w14:textId="15FE2C35" w:rsidR="00C43F94" w:rsidRDefault="00AB0B49" w:rsidP="00525275">
      <w:pPr>
        <w:rPr>
          <w:szCs w:val="20"/>
        </w:rPr>
      </w:pPr>
      <w:r>
        <w:rPr>
          <w:szCs w:val="20"/>
        </w:rPr>
        <w:t xml:space="preserve">In Scenario E, boosting with </w:t>
      </w:r>
      <w:r w:rsidR="00CD6E9E">
        <w:rPr>
          <w:szCs w:val="20"/>
        </w:rPr>
        <w:t>miscategorisation, (a), we can see that repeated application of the vaccine at twelve</w:t>
      </w:r>
      <w:r w:rsidR="00096A12">
        <w:rPr>
          <w:szCs w:val="20"/>
        </w:rPr>
        <w:t>-</w:t>
      </w:r>
      <w:r w:rsidR="00CD6E9E">
        <w:rPr>
          <w:szCs w:val="20"/>
        </w:rPr>
        <w:t xml:space="preserve">week intervals restores vaccine efficacy </w:t>
      </w:r>
      <w:r w:rsidR="008C2EAC">
        <w:rPr>
          <w:szCs w:val="20"/>
        </w:rPr>
        <w:t>to high levels after each booster and, assuming a constant infection rate, elevates the reported infection rate in the unvaccinated cohort</w:t>
      </w:r>
      <w:r w:rsidR="00096A12">
        <w:rPr>
          <w:szCs w:val="20"/>
        </w:rPr>
        <w:t xml:space="preserve"> between each booster campaign, giving rise to bias and gross overestimation.</w:t>
      </w:r>
    </w:p>
    <w:p w14:paraId="1D4F74AE" w14:textId="77777777" w:rsidR="00767B69" w:rsidRDefault="00767B69" w:rsidP="00767B69"/>
    <w:p w14:paraId="13EDF828" w14:textId="6965048C" w:rsidR="00767B69" w:rsidRPr="00705B52" w:rsidRDefault="00767B69" w:rsidP="00525275">
      <w:r>
        <w:t xml:space="preserve">Our simulation model has demonstrated that the effects of this selection bias are to artificially boost vaccine efficacy in all cases, and with the application of repeated ‘booster’ vaccinations, the efficacy of repeated </w:t>
      </w:r>
      <w:r w:rsidR="00F033FE">
        <w:t xml:space="preserve">Covid-19 </w:t>
      </w:r>
      <w:r>
        <w:t xml:space="preserve">vaccines could be maintained at these artificial levels in perpetuity should boosting be continued indefinitely. Furthermore, in tandem with this the infection rate is likewise artificially </w:t>
      </w:r>
      <w:r>
        <w:lastRenderedPageBreak/>
        <w:t xml:space="preserve">elevated for the unvaccinated cohort compared to the vaccinated cohort, further compounding false claims that a </w:t>
      </w:r>
      <w:r w:rsidR="00A43055">
        <w:t>C</w:t>
      </w:r>
      <w:r>
        <w:t>ovid</w:t>
      </w:r>
      <w:r w:rsidR="00A43055">
        <w:t>-</w:t>
      </w:r>
      <w:r>
        <w:t xml:space="preserve">19 vaccine reduces infection rates. Note that </w:t>
      </w:r>
      <w:r w:rsidR="001770D8">
        <w:t>other metrics of vaccine effectiveness, such as mortality or morbidity</w:t>
      </w:r>
      <w:r w:rsidR="00705B52">
        <w:t xml:space="preserve"> improvements,</w:t>
      </w:r>
      <w:r w:rsidR="001770D8">
        <w:t xml:space="preserve"> </w:t>
      </w:r>
      <w:r w:rsidR="00F36615">
        <w:t>are</w:t>
      </w:r>
      <w:r w:rsidR="00705B52">
        <w:t xml:space="preserve"> capable of being </w:t>
      </w:r>
      <w:r w:rsidR="00F36615">
        <w:t>mis-reported</w:t>
      </w:r>
      <w:r w:rsidR="00705B52">
        <w:t xml:space="preserve"> in a similar way </w:t>
      </w:r>
      <w:r w:rsidR="00F36615">
        <w:t>because of</w:t>
      </w:r>
      <w:r w:rsidR="00705B52">
        <w:t xml:space="preserve"> </w:t>
      </w:r>
      <w:r w:rsidR="001770D8">
        <w:t>the same bias.</w:t>
      </w:r>
    </w:p>
    <w:p w14:paraId="47BC3953" w14:textId="733CA32E" w:rsidR="001D1179" w:rsidRPr="00E05FC4" w:rsidRDefault="001D1179" w:rsidP="001D1179">
      <w:pPr>
        <w:pStyle w:val="Heading1"/>
        <w:rPr>
          <w:sz w:val="20"/>
        </w:rPr>
      </w:pPr>
      <w:r>
        <w:t>6. Conclusion</w:t>
      </w:r>
      <w:r w:rsidR="00015BAB">
        <w:t>s</w:t>
      </w:r>
    </w:p>
    <w:p w14:paraId="77C2BB0E" w14:textId="05051429" w:rsidR="00974193" w:rsidRDefault="00630427" w:rsidP="00525275">
      <w:r>
        <w:t>Our reviews reveals that a serious form of selection bias, miscategorisation, is pervasive throughout</w:t>
      </w:r>
      <w:r w:rsidR="00D540E8">
        <w:t xml:space="preserve"> </w:t>
      </w:r>
      <w:r w:rsidR="006005C9">
        <w:t xml:space="preserve">the </w:t>
      </w:r>
      <w:r w:rsidR="00D540E8">
        <w:t>many</w:t>
      </w:r>
      <w:r>
        <w:t xml:space="preserve"> research studies </w:t>
      </w:r>
      <w:r w:rsidR="006005C9">
        <w:t>that</w:t>
      </w:r>
      <w:r w:rsidR="00D540E8">
        <w:t xml:space="preserve"> </w:t>
      </w:r>
      <w:r w:rsidR="00F818CC">
        <w:t xml:space="preserve">aim to </w:t>
      </w:r>
      <w:r w:rsidR="00D540E8">
        <w:t>measure</w:t>
      </w:r>
      <w:r>
        <w:t xml:space="preserve"> Covid-19 vaccine efficacy. </w:t>
      </w:r>
      <w:r w:rsidR="00D540E8">
        <w:t xml:space="preserve">The effect of this bias is to artificially inflate vaccine efficacy </w:t>
      </w:r>
      <w:r w:rsidR="00AE7D18">
        <w:t>and</w:t>
      </w:r>
      <w:r w:rsidR="007820C5">
        <w:t xml:space="preserve"> present </w:t>
      </w:r>
      <w:r w:rsidR="00292584">
        <w:t>the</w:t>
      </w:r>
      <w:r w:rsidR="007820C5">
        <w:t xml:space="preserve"> </w:t>
      </w:r>
      <w:r w:rsidR="00292584">
        <w:t>misleading</w:t>
      </w:r>
      <w:r w:rsidR="007820C5">
        <w:t xml:space="preserve"> impression that these vaccines are effective and that the non-vaccinated suffer from higher Covid-19 infection rates compared to the vaccinated.</w:t>
      </w:r>
    </w:p>
    <w:p w14:paraId="45AD6BB7" w14:textId="77777777" w:rsidR="00761D40" w:rsidRDefault="00761D40" w:rsidP="00525275"/>
    <w:p w14:paraId="018C2043" w14:textId="46311B93" w:rsidR="00AF35CC" w:rsidRDefault="00F36615" w:rsidP="00761D40">
      <w:r>
        <w:t xml:space="preserve">We presented a </w:t>
      </w:r>
      <w:r w:rsidR="00761D40">
        <w:t xml:space="preserve">simulation model </w:t>
      </w:r>
      <w:r>
        <w:t>to</w:t>
      </w:r>
      <w:r w:rsidR="00761D40">
        <w:t xml:space="preserve"> </w:t>
      </w:r>
      <w:r w:rsidR="00F75A3B">
        <w:t>demonstrate</w:t>
      </w:r>
      <w:r w:rsidR="00761D40">
        <w:t xml:space="preserve"> the effects of this selection bias </w:t>
      </w:r>
      <w:r>
        <w:t>and show it</w:t>
      </w:r>
      <w:r w:rsidR="00761D40">
        <w:t xml:space="preserve"> artificially boost</w:t>
      </w:r>
      <w:r>
        <w:t>s</w:t>
      </w:r>
      <w:r w:rsidR="00761D40">
        <w:t xml:space="preserve"> vaccine efficacy in all cases,</w:t>
      </w:r>
      <w:r w:rsidR="00F75A3B">
        <w:t xml:space="preserve"> </w:t>
      </w:r>
      <w:r w:rsidR="00761D40">
        <w:t>and with the application of repeated ‘booster’ vaccinations, the efficacy of repeated Covid-19 vaccines could be maintained at artificial levels in perpetuity should boosting be continued indefinitely.</w:t>
      </w:r>
      <w:r w:rsidR="00A55863">
        <w:t xml:space="preserve"> </w:t>
      </w:r>
      <w:r w:rsidR="00AF35CC">
        <w:t xml:space="preserve">This </w:t>
      </w:r>
      <w:r w:rsidR="007C686E">
        <w:t xml:space="preserve">effect </w:t>
      </w:r>
      <w:r w:rsidR="00AF35CC">
        <w:t xml:space="preserve">occurs with a </w:t>
      </w:r>
      <w:r w:rsidR="003134C1">
        <w:t xml:space="preserve">both a </w:t>
      </w:r>
      <w:r w:rsidR="006E6DB0">
        <w:t>zero</w:t>
      </w:r>
      <w:r w:rsidR="0079265B">
        <w:t>-</w:t>
      </w:r>
      <w:r w:rsidR="006E6DB0">
        <w:t>efficacy (</w:t>
      </w:r>
      <w:r w:rsidR="00AF35CC">
        <w:t>placebo</w:t>
      </w:r>
      <w:r w:rsidR="006E6DB0">
        <w:t>)</w:t>
      </w:r>
      <w:r w:rsidR="00AF35CC">
        <w:t xml:space="preserve"> vaccine and a </w:t>
      </w:r>
      <w:r w:rsidR="0079265B">
        <w:t>n</w:t>
      </w:r>
      <w:r w:rsidR="00AF35CC">
        <w:t>egative</w:t>
      </w:r>
      <w:r w:rsidR="0079265B">
        <w:t>-</w:t>
      </w:r>
      <w:r w:rsidR="00AF35CC">
        <w:t xml:space="preserve">efficacy vaccine that </w:t>
      </w:r>
      <w:r w:rsidR="0079265B">
        <w:t>increases, rather than reduces,</w:t>
      </w:r>
      <w:r w:rsidR="00AF35CC">
        <w:t xml:space="preserve"> infection rates in those vaccinated.</w:t>
      </w:r>
    </w:p>
    <w:p w14:paraId="5B2DC31A" w14:textId="77777777" w:rsidR="00AF35CC" w:rsidRDefault="00AF35CC" w:rsidP="00761D40"/>
    <w:p w14:paraId="44CECA0C" w14:textId="4CD8D6FA" w:rsidR="00761D40" w:rsidRPr="00705B52" w:rsidRDefault="00F75A3B" w:rsidP="00455748">
      <w:r>
        <w:t xml:space="preserve">This miscategorisation is guaranteed to lead to initially very high efficacy claims (usually above 90%) during peak vaccine rollout even if the vaccine were a placebo or worse. Efficacy then falls toward zero a few weeks later. This pattern of high initial efficacy, tapering off after 3 months is also consistently observed in real-world studies, and is often used as justification for additional, booster </w:t>
      </w:r>
      <w:r w:rsidR="00DA6BEC">
        <w:t>vaccinations to maintain efficacy.</w:t>
      </w:r>
      <w:r w:rsidR="00163134">
        <w:t xml:space="preserve"> </w:t>
      </w:r>
      <w:r>
        <w:t>The corresponding</w:t>
      </w:r>
      <w:r w:rsidR="00761D40">
        <w:t xml:space="preserve"> </w:t>
      </w:r>
      <w:r>
        <w:t>Covid-19</w:t>
      </w:r>
      <w:r w:rsidR="00761D40">
        <w:t xml:space="preserve"> infection rate is</w:t>
      </w:r>
      <w:r w:rsidR="00163134">
        <w:t xml:space="preserve"> also</w:t>
      </w:r>
      <w:r w:rsidR="00761D40">
        <w:t xml:space="preserve"> likewise artificially elevated </w:t>
      </w:r>
      <w:r w:rsidR="00A43055">
        <w:t>in</w:t>
      </w:r>
      <w:r w:rsidR="00761D40">
        <w:t xml:space="preserve"> the unvaccinated cohort compared to the vaccinated cohort</w:t>
      </w:r>
      <w:r w:rsidR="00163134">
        <w:t>. These issues apply to other measures of vaccination effectiveness related to mortality and morbidity.</w:t>
      </w:r>
    </w:p>
    <w:p w14:paraId="2E354D1A" w14:textId="77777777" w:rsidR="00761D40" w:rsidRDefault="00761D40" w:rsidP="00455748"/>
    <w:p w14:paraId="78B755EF" w14:textId="2E35C975" w:rsidR="00455748" w:rsidRDefault="00455748" w:rsidP="00455748">
      <w:r>
        <w:t>Thus</w:t>
      </w:r>
      <w:r w:rsidR="00782DA8">
        <w:t>,</w:t>
      </w:r>
      <w:r>
        <w:t xml:space="preserve"> we conclude that any claims of Covid-19 vaccine efficacy based on th</w:t>
      </w:r>
      <w:r w:rsidR="009251E1">
        <w:t xml:space="preserve">ese studies </w:t>
      </w:r>
      <w:r>
        <w:t>are likely to be a statistical illusion.</w:t>
      </w:r>
    </w:p>
    <w:p w14:paraId="008D38F5" w14:textId="77777777" w:rsidR="00761D40" w:rsidRDefault="00761D40" w:rsidP="00525275"/>
    <w:p w14:paraId="42144E6F" w14:textId="77777777" w:rsidR="00E05FC4" w:rsidRDefault="3187830C" w:rsidP="00E05FC4">
      <w:pPr>
        <w:pStyle w:val="Heading1"/>
      </w:pPr>
      <w:r>
        <w:t>References</w:t>
      </w:r>
    </w:p>
    <w:p w14:paraId="3C8BA2F7" w14:textId="4C79ADF7" w:rsidR="3187830C" w:rsidRDefault="3187830C" w:rsidP="3187830C">
      <w:pPr>
        <w:ind w:left="720" w:hanging="720"/>
      </w:pPr>
      <w:r w:rsidRPr="3187830C">
        <w:rPr>
          <w:szCs w:val="20"/>
        </w:rPr>
        <w:t xml:space="preserve">Brown, R. B. (2021). Outcome reporting bias in </w:t>
      </w:r>
      <w:r w:rsidR="00F033FE">
        <w:rPr>
          <w:szCs w:val="20"/>
        </w:rPr>
        <w:t xml:space="preserve">COVID-19 </w:t>
      </w:r>
      <w:r w:rsidRPr="3187830C">
        <w:rPr>
          <w:szCs w:val="20"/>
        </w:rPr>
        <w:t xml:space="preserve">mRNA vaccine clinical trials. </w:t>
      </w:r>
      <w:proofErr w:type="spellStart"/>
      <w:r w:rsidRPr="3187830C">
        <w:rPr>
          <w:i/>
          <w:iCs/>
          <w:szCs w:val="20"/>
        </w:rPr>
        <w:t>Medicina</w:t>
      </w:r>
      <w:proofErr w:type="spellEnd"/>
      <w:r w:rsidRPr="3187830C">
        <w:rPr>
          <w:szCs w:val="20"/>
        </w:rPr>
        <w:t xml:space="preserve">, </w:t>
      </w:r>
      <w:r w:rsidRPr="3187830C">
        <w:rPr>
          <w:i/>
          <w:iCs/>
          <w:szCs w:val="20"/>
        </w:rPr>
        <w:t>57</w:t>
      </w:r>
      <w:r w:rsidRPr="3187830C">
        <w:rPr>
          <w:szCs w:val="20"/>
        </w:rPr>
        <w:t>(3), 199.</w:t>
      </w:r>
      <w:r>
        <w:t xml:space="preserve"> </w:t>
      </w:r>
    </w:p>
    <w:p w14:paraId="5C8D45B5" w14:textId="57808300" w:rsidR="3187830C" w:rsidRDefault="3187830C" w:rsidP="3187830C">
      <w:pPr>
        <w:ind w:left="720" w:hanging="720"/>
      </w:pPr>
      <w:r w:rsidRPr="3187830C">
        <w:rPr>
          <w:szCs w:val="20"/>
        </w:rPr>
        <w:t xml:space="preserve">Doll, M. K., Pettigrew, S. M., Ma, J., &amp; Verma, A. (2022). Effects of confounding bias in coronavirus disease 2019 (COVID-19) and influenza vaccine effectiveness test-negative designs due to correlated influenza and </w:t>
      </w:r>
      <w:r w:rsidR="00F033FE">
        <w:rPr>
          <w:szCs w:val="20"/>
        </w:rPr>
        <w:t xml:space="preserve">COVID-19 </w:t>
      </w:r>
      <w:r w:rsidRPr="3187830C">
        <w:rPr>
          <w:szCs w:val="20"/>
        </w:rPr>
        <w:t xml:space="preserve">vaccination </w:t>
      </w:r>
      <w:proofErr w:type="spellStart"/>
      <w:r w:rsidRPr="3187830C">
        <w:rPr>
          <w:szCs w:val="20"/>
        </w:rPr>
        <w:t>behaviors</w:t>
      </w:r>
      <w:proofErr w:type="spellEnd"/>
      <w:r w:rsidRPr="3187830C">
        <w:rPr>
          <w:szCs w:val="20"/>
        </w:rPr>
        <w:t xml:space="preserve">. </w:t>
      </w:r>
      <w:r w:rsidRPr="3187830C">
        <w:rPr>
          <w:i/>
          <w:iCs/>
          <w:szCs w:val="20"/>
        </w:rPr>
        <w:t>Clinical Infectious Diseases</w:t>
      </w:r>
      <w:r w:rsidRPr="3187830C">
        <w:rPr>
          <w:szCs w:val="20"/>
        </w:rPr>
        <w:t xml:space="preserve">, </w:t>
      </w:r>
      <w:r w:rsidRPr="3187830C">
        <w:rPr>
          <w:i/>
          <w:iCs/>
          <w:szCs w:val="20"/>
        </w:rPr>
        <w:t>75</w:t>
      </w:r>
      <w:r w:rsidRPr="3187830C">
        <w:rPr>
          <w:szCs w:val="20"/>
        </w:rPr>
        <w:t>(1), e564-e571.</w:t>
      </w:r>
      <w:r>
        <w:t xml:space="preserve"> </w:t>
      </w:r>
    </w:p>
    <w:p w14:paraId="02A5C9B5" w14:textId="306FDCD3" w:rsidR="3187830C" w:rsidRDefault="3187830C" w:rsidP="3187830C">
      <w:pPr>
        <w:ind w:left="720" w:hanging="720"/>
      </w:pPr>
      <w:r>
        <w:t xml:space="preserve">Elliot, C. (2014). Relationships between physicians and Pharma: Why physicians should not accept money from the pharmaceutical industry. </w:t>
      </w:r>
      <w:r w:rsidRPr="3187830C">
        <w:rPr>
          <w:i/>
          <w:iCs/>
        </w:rPr>
        <w:t>Neurology Clinical Practice</w:t>
      </w:r>
      <w:r>
        <w:t xml:space="preserve">, 4(2). </w:t>
      </w:r>
      <w:hyperlink r:id="rId9">
        <w:r w:rsidRPr="3187830C">
          <w:rPr>
            <w:rStyle w:val="Hyperlink"/>
          </w:rPr>
          <w:t>https://doi.org/10.1212%2FCPJ.0000000000000012</w:t>
        </w:r>
      </w:hyperlink>
      <w:r>
        <w:t xml:space="preserve"> </w:t>
      </w:r>
    </w:p>
    <w:p w14:paraId="1ADCD332" w14:textId="78A9654B" w:rsidR="3187830C" w:rsidRDefault="3187830C" w:rsidP="3187830C">
      <w:pPr>
        <w:ind w:left="720" w:hanging="720"/>
      </w:pPr>
      <w:r w:rsidRPr="3187830C">
        <w:rPr>
          <w:szCs w:val="20"/>
        </w:rPr>
        <w:t xml:space="preserve">Eusebi, P., </w:t>
      </w:r>
      <w:proofErr w:type="spellStart"/>
      <w:r w:rsidRPr="3187830C">
        <w:rPr>
          <w:szCs w:val="20"/>
        </w:rPr>
        <w:t>Speybroeck</w:t>
      </w:r>
      <w:proofErr w:type="spellEnd"/>
      <w:r w:rsidRPr="3187830C">
        <w:rPr>
          <w:szCs w:val="20"/>
        </w:rPr>
        <w:t xml:space="preserve">, N., Hartnack, S., Stærk-Østergaard, J., Denwood, M. J., &amp; Kostoulas, P. (2023). Addressing misclassification bias in vaccine effectiveness studies with an application to Covid-19. </w:t>
      </w:r>
      <w:r w:rsidRPr="3187830C">
        <w:rPr>
          <w:i/>
          <w:iCs/>
          <w:szCs w:val="20"/>
        </w:rPr>
        <w:t>BMC Medical Research Methodology</w:t>
      </w:r>
      <w:r w:rsidRPr="3187830C">
        <w:rPr>
          <w:szCs w:val="20"/>
        </w:rPr>
        <w:t xml:space="preserve">, </w:t>
      </w:r>
      <w:r w:rsidRPr="3187830C">
        <w:rPr>
          <w:i/>
          <w:iCs/>
          <w:szCs w:val="20"/>
        </w:rPr>
        <w:t>23</w:t>
      </w:r>
      <w:r w:rsidRPr="3187830C">
        <w:rPr>
          <w:szCs w:val="20"/>
        </w:rPr>
        <w:t>(1), 55.</w:t>
      </w:r>
      <w:r>
        <w:t xml:space="preserve"> </w:t>
      </w:r>
    </w:p>
    <w:p w14:paraId="27298FDC" w14:textId="14771A6F" w:rsidR="3187830C" w:rsidRDefault="3187830C" w:rsidP="3187830C">
      <w:pPr>
        <w:ind w:left="720" w:hanging="720"/>
      </w:pPr>
      <w:r>
        <w:t xml:space="preserve">Fenton, N. &amp; Neil, M. (2023). The Very Best of Cheap Trick. </w:t>
      </w:r>
      <w:r w:rsidRPr="3187830C">
        <w:rPr>
          <w:i/>
          <w:iCs/>
        </w:rPr>
        <w:t>Where are the Numbers</w:t>
      </w:r>
      <w:r w:rsidRPr="3187830C">
        <w:t xml:space="preserve">. Last accessed: February 20, 2023. Sourced from: </w:t>
      </w:r>
      <w:hyperlink r:id="rId10">
        <w:r w:rsidRPr="3187830C">
          <w:rPr>
            <w:rStyle w:val="Hyperlink"/>
          </w:rPr>
          <w:t>https://wherearethenumbers.substack.com/p/the-very-best-of-cheap-trick</w:t>
        </w:r>
      </w:hyperlink>
    </w:p>
    <w:p w14:paraId="6F7DCF43" w14:textId="2D1AFC83" w:rsidR="3187830C" w:rsidRDefault="3187830C" w:rsidP="3187830C">
      <w:pPr>
        <w:ind w:left="720" w:hanging="720"/>
      </w:pPr>
      <w:r w:rsidRPr="3187830C">
        <w:rPr>
          <w:szCs w:val="20"/>
        </w:rPr>
        <w:t xml:space="preserve">Fung, K., Jones, M., &amp; Doshi, P. (2023). Sources of bias in observational studies of covid‐19 vaccine effectiveness. </w:t>
      </w:r>
      <w:r w:rsidRPr="3187830C">
        <w:rPr>
          <w:i/>
          <w:iCs/>
          <w:szCs w:val="20"/>
        </w:rPr>
        <w:t>Journal of Evaluation in Clinical Practice</w:t>
      </w:r>
      <w:r w:rsidRPr="3187830C">
        <w:rPr>
          <w:szCs w:val="20"/>
        </w:rPr>
        <w:t>.</w:t>
      </w:r>
      <w:r>
        <w:t xml:space="preserve"> </w:t>
      </w:r>
    </w:p>
    <w:p w14:paraId="222E2BBF" w14:textId="6D95BA52" w:rsidR="3187830C" w:rsidRDefault="3187830C" w:rsidP="3187830C">
      <w:pPr>
        <w:ind w:left="720" w:hanging="720"/>
      </w:pPr>
      <w:proofErr w:type="spellStart"/>
      <w:r w:rsidRPr="3187830C">
        <w:rPr>
          <w:szCs w:val="20"/>
        </w:rPr>
        <w:t>Glasziou</w:t>
      </w:r>
      <w:proofErr w:type="spellEnd"/>
      <w:r w:rsidRPr="3187830C">
        <w:rPr>
          <w:szCs w:val="20"/>
        </w:rPr>
        <w:t xml:space="preserve">, P., McCaffery, K., </w:t>
      </w:r>
      <w:proofErr w:type="spellStart"/>
      <w:r w:rsidRPr="3187830C">
        <w:rPr>
          <w:szCs w:val="20"/>
        </w:rPr>
        <w:t>Cvejic</w:t>
      </w:r>
      <w:proofErr w:type="spellEnd"/>
      <w:r w:rsidRPr="3187830C">
        <w:rPr>
          <w:szCs w:val="20"/>
        </w:rPr>
        <w:t xml:space="preserve">, E., </w:t>
      </w:r>
      <w:proofErr w:type="spellStart"/>
      <w:r w:rsidRPr="3187830C">
        <w:rPr>
          <w:szCs w:val="20"/>
        </w:rPr>
        <w:t>Batcup</w:t>
      </w:r>
      <w:proofErr w:type="spellEnd"/>
      <w:r w:rsidRPr="3187830C">
        <w:rPr>
          <w:szCs w:val="20"/>
        </w:rPr>
        <w:t xml:space="preserve">, C., Ayre, J., Pickles, K., &amp; Bonner, C. (2022). Testing behaviour may bias observational studies of vaccine effectiveness. </w:t>
      </w:r>
      <w:r w:rsidRPr="3187830C">
        <w:rPr>
          <w:i/>
          <w:iCs/>
          <w:szCs w:val="20"/>
        </w:rPr>
        <w:t>Official Journal of the Association of Medical Microbiology and Infectious Disease Canada</w:t>
      </w:r>
      <w:r w:rsidRPr="3187830C">
        <w:rPr>
          <w:szCs w:val="20"/>
        </w:rPr>
        <w:t xml:space="preserve">, </w:t>
      </w:r>
      <w:r w:rsidRPr="3187830C">
        <w:rPr>
          <w:i/>
          <w:iCs/>
          <w:szCs w:val="20"/>
        </w:rPr>
        <w:t>7</w:t>
      </w:r>
      <w:r w:rsidRPr="3187830C">
        <w:rPr>
          <w:szCs w:val="20"/>
        </w:rPr>
        <w:t>(3), 242-246.</w:t>
      </w:r>
      <w:r>
        <w:t xml:space="preserve"> </w:t>
      </w:r>
    </w:p>
    <w:p w14:paraId="3570E5C3" w14:textId="6B413C49" w:rsidR="3187830C" w:rsidRDefault="3187830C" w:rsidP="3187830C">
      <w:pPr>
        <w:ind w:left="720" w:hanging="720"/>
      </w:pPr>
      <w:r>
        <w:t xml:space="preserve">Haven, T., Gopalakrishna, G., </w:t>
      </w:r>
      <w:proofErr w:type="spellStart"/>
      <w:r>
        <w:t>Tijdink</w:t>
      </w:r>
      <w:proofErr w:type="spellEnd"/>
      <w:r>
        <w:t xml:space="preserve">, J., van der </w:t>
      </w:r>
      <w:proofErr w:type="spellStart"/>
      <w:r>
        <w:t>Schot</w:t>
      </w:r>
      <w:proofErr w:type="spellEnd"/>
      <w:r>
        <w:t xml:space="preserve">, D., &amp; Bouter, L. (2022). Promoting trust in research and researchers: How open science and research integrity are intertwined. </w:t>
      </w:r>
      <w:r w:rsidRPr="3187830C">
        <w:rPr>
          <w:i/>
          <w:iCs/>
        </w:rPr>
        <w:t>BMC Research Notes</w:t>
      </w:r>
      <w:r>
        <w:t xml:space="preserve">, </w:t>
      </w:r>
      <w:r w:rsidRPr="3187830C">
        <w:rPr>
          <w:i/>
          <w:iCs/>
        </w:rPr>
        <w:t>15</w:t>
      </w:r>
      <w:r>
        <w:t xml:space="preserve">(1), 302. </w:t>
      </w:r>
    </w:p>
    <w:p w14:paraId="526299FF" w14:textId="2C2111F2" w:rsidR="3187830C" w:rsidRDefault="3187830C" w:rsidP="3187830C">
      <w:pPr>
        <w:ind w:left="720" w:hanging="720"/>
      </w:pPr>
      <w:r w:rsidRPr="3187830C">
        <w:rPr>
          <w:szCs w:val="20"/>
        </w:rPr>
        <w:t xml:space="preserve">Hitchings, M. D., </w:t>
      </w:r>
      <w:proofErr w:type="spellStart"/>
      <w:r w:rsidRPr="3187830C">
        <w:rPr>
          <w:szCs w:val="20"/>
        </w:rPr>
        <w:t>Lewnard</w:t>
      </w:r>
      <w:proofErr w:type="spellEnd"/>
      <w:r w:rsidRPr="3187830C">
        <w:rPr>
          <w:szCs w:val="20"/>
        </w:rPr>
        <w:t xml:space="preserve">, J. A., Dean, N. E., Ko, A. I., </w:t>
      </w:r>
      <w:proofErr w:type="spellStart"/>
      <w:r w:rsidRPr="3187830C">
        <w:rPr>
          <w:szCs w:val="20"/>
        </w:rPr>
        <w:t>Ranzani</w:t>
      </w:r>
      <w:proofErr w:type="spellEnd"/>
      <w:r w:rsidRPr="3187830C">
        <w:rPr>
          <w:szCs w:val="20"/>
        </w:rPr>
        <w:t xml:space="preserve">, O. T., Andrews, J. R., &amp; Cummings, D. A. (2022). Use of recently vaccinated individuals to detect bias in test-negative case–control studies of </w:t>
      </w:r>
      <w:r w:rsidR="00F033FE">
        <w:rPr>
          <w:szCs w:val="20"/>
        </w:rPr>
        <w:t xml:space="preserve">COVID-19 </w:t>
      </w:r>
      <w:r w:rsidRPr="3187830C">
        <w:rPr>
          <w:szCs w:val="20"/>
        </w:rPr>
        <w:t xml:space="preserve">vaccine effectiveness. </w:t>
      </w:r>
      <w:r w:rsidRPr="3187830C">
        <w:rPr>
          <w:i/>
          <w:iCs/>
          <w:szCs w:val="20"/>
        </w:rPr>
        <w:t>Epidemiology (Cambridge, Mass.)</w:t>
      </w:r>
      <w:r w:rsidRPr="3187830C">
        <w:rPr>
          <w:szCs w:val="20"/>
        </w:rPr>
        <w:t xml:space="preserve">, </w:t>
      </w:r>
      <w:r w:rsidRPr="3187830C">
        <w:rPr>
          <w:i/>
          <w:iCs/>
          <w:szCs w:val="20"/>
        </w:rPr>
        <w:t>33</w:t>
      </w:r>
      <w:r w:rsidRPr="3187830C">
        <w:rPr>
          <w:szCs w:val="20"/>
        </w:rPr>
        <w:t xml:space="preserve">(4), 450. </w:t>
      </w:r>
    </w:p>
    <w:p w14:paraId="39014F31" w14:textId="0448A5FF" w:rsidR="3187830C" w:rsidRDefault="3187830C" w:rsidP="3187830C">
      <w:pPr>
        <w:ind w:left="720" w:hanging="720"/>
      </w:pPr>
      <w:r w:rsidRPr="3187830C">
        <w:rPr>
          <w:szCs w:val="20"/>
        </w:rPr>
        <w:lastRenderedPageBreak/>
        <w:t xml:space="preserve">Ioannidis, J. P. (2022). Factors influencing estimated effectiveness of </w:t>
      </w:r>
      <w:r w:rsidR="00F033FE">
        <w:rPr>
          <w:szCs w:val="20"/>
        </w:rPr>
        <w:t xml:space="preserve">COVID-19 </w:t>
      </w:r>
      <w:r w:rsidRPr="3187830C">
        <w:rPr>
          <w:szCs w:val="20"/>
        </w:rPr>
        <w:t xml:space="preserve">vaccines in non-randomised studies. </w:t>
      </w:r>
      <w:r w:rsidRPr="3187830C">
        <w:rPr>
          <w:i/>
          <w:iCs/>
          <w:szCs w:val="20"/>
        </w:rPr>
        <w:t>BMJ Evidence-Based Medicine</w:t>
      </w:r>
      <w:r w:rsidRPr="3187830C">
        <w:rPr>
          <w:szCs w:val="20"/>
        </w:rPr>
        <w:t xml:space="preserve">, </w:t>
      </w:r>
      <w:r w:rsidRPr="3187830C">
        <w:rPr>
          <w:i/>
          <w:iCs/>
          <w:szCs w:val="20"/>
        </w:rPr>
        <w:t>27</w:t>
      </w:r>
      <w:r w:rsidRPr="3187830C">
        <w:rPr>
          <w:szCs w:val="20"/>
        </w:rPr>
        <w:t>(6), 324-329.</w:t>
      </w:r>
    </w:p>
    <w:p w14:paraId="51B93B57" w14:textId="0AC604A5" w:rsidR="3187830C" w:rsidRDefault="3187830C" w:rsidP="3187830C">
      <w:pPr>
        <w:ind w:left="720" w:hanging="720"/>
      </w:pPr>
      <w:r w:rsidRPr="3187830C">
        <w:rPr>
          <w:szCs w:val="20"/>
        </w:rPr>
        <w:t xml:space="preserve">Kobayashi, Y., Howell, C., &amp; Heinrich, T. (2021). Vaccine hesitancy, state bias, and Covid-19: Evidence from a survey experiment using Phase-3 results announcement by BioNTech and Pfizer. </w:t>
      </w:r>
      <w:r w:rsidRPr="3187830C">
        <w:rPr>
          <w:i/>
          <w:iCs/>
          <w:szCs w:val="20"/>
        </w:rPr>
        <w:t>Social Science &amp; Medicine</w:t>
      </w:r>
      <w:r w:rsidRPr="3187830C">
        <w:rPr>
          <w:szCs w:val="20"/>
        </w:rPr>
        <w:t xml:space="preserve">, </w:t>
      </w:r>
      <w:r w:rsidRPr="3187830C">
        <w:rPr>
          <w:i/>
          <w:iCs/>
          <w:szCs w:val="20"/>
        </w:rPr>
        <w:t>282</w:t>
      </w:r>
      <w:r w:rsidRPr="3187830C">
        <w:rPr>
          <w:szCs w:val="20"/>
        </w:rPr>
        <w:t xml:space="preserve">, 114115. </w:t>
      </w:r>
    </w:p>
    <w:p w14:paraId="35EEC1A8" w14:textId="27AE3540" w:rsidR="3187830C" w:rsidRDefault="3187830C" w:rsidP="3187830C">
      <w:pPr>
        <w:ind w:left="720" w:hanging="720"/>
      </w:pPr>
      <w:proofErr w:type="spellStart"/>
      <w:r w:rsidRPr="3187830C">
        <w:rPr>
          <w:szCs w:val="20"/>
        </w:rPr>
        <w:t>Lataster</w:t>
      </w:r>
      <w:proofErr w:type="spellEnd"/>
      <w:r w:rsidRPr="3187830C">
        <w:rPr>
          <w:szCs w:val="20"/>
        </w:rPr>
        <w:t xml:space="preserve">, R. (2024). How the adverse effect counting window affected vaccine safety calculations in randomised trials of COVID‐19 vaccines. </w:t>
      </w:r>
      <w:r w:rsidRPr="3187830C">
        <w:rPr>
          <w:i/>
          <w:iCs/>
          <w:szCs w:val="20"/>
        </w:rPr>
        <w:t>Journal of Evaluation in Clinical Practice</w:t>
      </w:r>
      <w:r w:rsidRPr="3187830C">
        <w:rPr>
          <w:szCs w:val="20"/>
        </w:rPr>
        <w:t xml:space="preserve">. </w:t>
      </w:r>
    </w:p>
    <w:p w14:paraId="684A1D02" w14:textId="6012F34B" w:rsidR="3187830C" w:rsidRDefault="3187830C" w:rsidP="3187830C">
      <w:pPr>
        <w:ind w:left="720" w:hanging="720"/>
      </w:pPr>
      <w:r w:rsidRPr="3187830C">
        <w:rPr>
          <w:szCs w:val="20"/>
        </w:rPr>
        <w:t xml:space="preserve">Malthouse, E. (2023). Confirmation bias and vaccine-related beliefs in the time of COVID-19. </w:t>
      </w:r>
      <w:r w:rsidRPr="3187830C">
        <w:rPr>
          <w:i/>
          <w:iCs/>
          <w:szCs w:val="20"/>
        </w:rPr>
        <w:t>Journal of Public Health</w:t>
      </w:r>
      <w:r w:rsidRPr="3187830C">
        <w:rPr>
          <w:szCs w:val="20"/>
        </w:rPr>
        <w:t xml:space="preserve">, </w:t>
      </w:r>
      <w:r w:rsidRPr="3187830C">
        <w:rPr>
          <w:i/>
          <w:iCs/>
          <w:szCs w:val="20"/>
        </w:rPr>
        <w:t>45</w:t>
      </w:r>
      <w:r w:rsidRPr="3187830C">
        <w:rPr>
          <w:szCs w:val="20"/>
        </w:rPr>
        <w:t xml:space="preserve">(2), 523-528. </w:t>
      </w:r>
    </w:p>
    <w:p w14:paraId="7D73D8AD" w14:textId="25FB6FA4" w:rsidR="3187830C" w:rsidRDefault="3187830C" w:rsidP="3187830C">
      <w:pPr>
        <w:ind w:left="720" w:hanging="720"/>
      </w:pPr>
      <w:r w:rsidRPr="3187830C">
        <w:rPr>
          <w:szCs w:val="20"/>
        </w:rPr>
        <w:t xml:space="preserve">Ortiz-Brizuela, E., Carabali, M., Jiang, C., Merckx, J., Talbot, D., &amp; Schnitzer, M. E. (2023). Potential biases in test-negative design studies of </w:t>
      </w:r>
      <w:r w:rsidR="00F033FE">
        <w:rPr>
          <w:szCs w:val="20"/>
        </w:rPr>
        <w:t xml:space="preserve">COVID-19 </w:t>
      </w:r>
      <w:r w:rsidRPr="3187830C">
        <w:rPr>
          <w:szCs w:val="20"/>
        </w:rPr>
        <w:t xml:space="preserve">vaccine effectiveness arising from the inclusion of asymptomatic individuals. </w:t>
      </w:r>
      <w:r w:rsidRPr="3187830C">
        <w:rPr>
          <w:i/>
          <w:iCs/>
          <w:szCs w:val="20"/>
        </w:rPr>
        <w:t>medRxiv</w:t>
      </w:r>
      <w:r w:rsidRPr="3187830C">
        <w:rPr>
          <w:szCs w:val="20"/>
        </w:rPr>
        <w:t>, 2023-11.</w:t>
      </w:r>
      <w:r>
        <w:t xml:space="preserve"> </w:t>
      </w:r>
    </w:p>
    <w:p w14:paraId="06AF74CD" w14:textId="77777777" w:rsidR="00E05FC4" w:rsidRDefault="00E05FC4" w:rsidP="00E05FC4">
      <w:pPr>
        <w:ind w:left="720" w:hanging="720"/>
      </w:pPr>
      <w:r>
        <w:t xml:space="preserve">Saul, S. (2008). Experts conclude Pfizer manipulated studies. </w:t>
      </w:r>
      <w:r>
        <w:rPr>
          <w:i/>
          <w:iCs/>
        </w:rPr>
        <w:t>New York Times</w:t>
      </w:r>
      <w:r>
        <w:t xml:space="preserve"> (8 October, 2008). Last accessed: 28 December, 2023. Sourced from: </w:t>
      </w:r>
      <w:hyperlink r:id="rId11" w:history="1">
        <w:r w:rsidRPr="004A7BE4">
          <w:rPr>
            <w:rStyle w:val="Hyperlink"/>
          </w:rPr>
          <w:t>https://www.nytimes.com/2008/10/08/health/research/08drug.html</w:t>
        </w:r>
      </w:hyperlink>
    </w:p>
    <w:p w14:paraId="13FC6BAC" w14:textId="34970194" w:rsidR="3187830C" w:rsidRDefault="3187830C" w:rsidP="3187830C">
      <w:pPr>
        <w:ind w:left="720" w:hanging="720"/>
      </w:pPr>
      <w:proofErr w:type="spellStart"/>
      <w:r>
        <w:t>Shienke</w:t>
      </w:r>
      <w:proofErr w:type="spellEnd"/>
      <w:r>
        <w:t xml:space="preserve">, E. (2023). Bioethics 533: Ethical dimensions of renewable energy and sustainable systems - 2.1 Falsification, Fabrication, Plagiarism. </w:t>
      </w:r>
      <w:r w:rsidRPr="3187830C">
        <w:rPr>
          <w:i/>
          <w:iCs/>
        </w:rPr>
        <w:t>Penn State University</w:t>
      </w:r>
      <w:r>
        <w:t xml:space="preserve">. Last accessed: 28 December, 2023. Sourced from: </w:t>
      </w:r>
      <w:hyperlink r:id="rId12">
        <w:r w:rsidRPr="3187830C">
          <w:rPr>
            <w:rStyle w:val="Hyperlink"/>
          </w:rPr>
          <w:t>https://www.e-education.psu.edu/bioet533/node/654</w:t>
        </w:r>
      </w:hyperlink>
      <w:r>
        <w:t xml:space="preserve"> </w:t>
      </w:r>
    </w:p>
    <w:p w14:paraId="11883B63" w14:textId="6800D42F" w:rsidR="3187830C" w:rsidRDefault="3187830C" w:rsidP="3187830C">
      <w:pPr>
        <w:ind w:left="720" w:hanging="720"/>
        <w:rPr>
          <w:szCs w:val="20"/>
        </w:rPr>
      </w:pPr>
      <w:r w:rsidRPr="3187830C">
        <w:rPr>
          <w:szCs w:val="20"/>
        </w:rPr>
        <w:t xml:space="preserve">Weinstein, B. &amp; Heying. H. (2023). Science Strong and Fragile. </w:t>
      </w:r>
      <w:r w:rsidRPr="3187830C">
        <w:rPr>
          <w:i/>
          <w:iCs/>
          <w:szCs w:val="20"/>
        </w:rPr>
        <w:t>Dark Horse Podcast</w:t>
      </w:r>
      <w:r w:rsidRPr="3187830C">
        <w:rPr>
          <w:szCs w:val="20"/>
        </w:rPr>
        <w:t>. Last accessed: February 20, 2024. Sourced from: https://www.youtube.com/watch?v=3AWOHZ2Y_KQ (Starting at: 31:30)</w:t>
      </w:r>
    </w:p>
    <w:p w14:paraId="60DE6B19" w14:textId="6A3212A3" w:rsidR="00C12224" w:rsidRDefault="3187830C" w:rsidP="006D0096">
      <w:pPr>
        <w:ind w:left="720" w:hanging="720"/>
      </w:pPr>
      <w:r w:rsidRPr="3187830C">
        <w:rPr>
          <w:szCs w:val="20"/>
        </w:rPr>
        <w:t xml:space="preserve">Williams, L. R., Ferguson, N. M., Donnelly, C. A., &amp; </w:t>
      </w:r>
      <w:proofErr w:type="spellStart"/>
      <w:r w:rsidRPr="3187830C">
        <w:rPr>
          <w:szCs w:val="20"/>
        </w:rPr>
        <w:t>Grassly</w:t>
      </w:r>
      <w:proofErr w:type="spellEnd"/>
      <w:r w:rsidRPr="3187830C">
        <w:rPr>
          <w:szCs w:val="20"/>
        </w:rPr>
        <w:t xml:space="preserve">, N. C. (2022). Measuring Vaccine Efficacy Against Infection and Disease in Clinical Trials: Sources and Magnitude of Bias in Coronavirus Disease 2019 (COVID-19) Vaccine Efficacy Estimates. </w:t>
      </w:r>
      <w:r w:rsidRPr="3187830C">
        <w:rPr>
          <w:i/>
          <w:iCs/>
          <w:szCs w:val="20"/>
        </w:rPr>
        <w:t>Clinical Infectious Diseases</w:t>
      </w:r>
      <w:r w:rsidRPr="3187830C">
        <w:rPr>
          <w:szCs w:val="20"/>
        </w:rPr>
        <w:t xml:space="preserve">, </w:t>
      </w:r>
      <w:r w:rsidRPr="3187830C">
        <w:rPr>
          <w:i/>
          <w:iCs/>
          <w:szCs w:val="20"/>
        </w:rPr>
        <w:t>75</w:t>
      </w:r>
      <w:r w:rsidRPr="3187830C">
        <w:rPr>
          <w:szCs w:val="20"/>
        </w:rPr>
        <w:t>(1), e764-e773.</w:t>
      </w:r>
      <w:r w:rsidR="006D0096">
        <w:rPr>
          <w:szCs w:val="20"/>
        </w:rPr>
        <w:t xml:space="preserve"> </w:t>
      </w:r>
      <w:hyperlink r:id="rId13" w:history="1">
        <w:r w:rsidR="00C12224" w:rsidRPr="00AE7D90">
          <w:rPr>
            <w:rStyle w:val="Hyperlink"/>
          </w:rPr>
          <w:t>https://onlinelibrary.wiley.com/doi/10.1111/jep.13839</w:t>
        </w:r>
      </w:hyperlink>
    </w:p>
    <w:p w14:paraId="79AA23DF" w14:textId="77777777" w:rsidR="00C12224" w:rsidRDefault="00C12224" w:rsidP="00525275"/>
    <w:p w14:paraId="16B5C984" w14:textId="77777777" w:rsidR="00C12224" w:rsidRPr="00525275" w:rsidRDefault="00C12224" w:rsidP="00525275"/>
    <w:p w14:paraId="1BEF0E9E" w14:textId="210435DE" w:rsidR="2480EF30" w:rsidRDefault="2480EF30" w:rsidP="2480EF30"/>
    <w:p w14:paraId="01320A5A" w14:textId="0B07C2E3" w:rsidR="2480EF30" w:rsidRDefault="2480EF30" w:rsidP="2480EF30"/>
    <w:p w14:paraId="1AE3FCFB" w14:textId="41135498" w:rsidR="2480EF30" w:rsidRDefault="2480EF30" w:rsidP="2480EF30"/>
    <w:p w14:paraId="661B3AEF" w14:textId="17893AD4" w:rsidR="2480EF30" w:rsidRDefault="2480EF30" w:rsidP="3187830C"/>
    <w:p w14:paraId="46B2B4CE" w14:textId="77777777" w:rsidR="00F66289" w:rsidRDefault="00F66289">
      <w:pPr>
        <w:contextualSpacing w:val="0"/>
        <w:rPr>
          <w:rFonts w:eastAsiaTheme="majorEastAsia" w:cstheme="majorBidi"/>
          <w:color w:val="000000" w:themeColor="text1"/>
          <w:sz w:val="32"/>
          <w:szCs w:val="32"/>
        </w:rPr>
      </w:pPr>
      <w:r>
        <w:br w:type="page"/>
      </w:r>
    </w:p>
    <w:p w14:paraId="7A37226D" w14:textId="5B4D7C9F" w:rsidR="2480EF30" w:rsidRPr="00647B8E" w:rsidRDefault="2480EF30" w:rsidP="2480EF30">
      <w:pPr>
        <w:pStyle w:val="Heading1"/>
      </w:pPr>
      <w:r>
        <w:lastRenderedPageBreak/>
        <w:t xml:space="preserve">Appendix: </w:t>
      </w:r>
      <w:r w:rsidR="000A412C">
        <w:t>Research studies</w:t>
      </w:r>
      <w:r w:rsidR="00C900FF">
        <w:t xml:space="preserve"> containing </w:t>
      </w:r>
      <w:r w:rsidR="00E40FF3">
        <w:t xml:space="preserve">miscategorisation </w:t>
      </w:r>
      <w:r w:rsidR="00647B8E" w:rsidRPr="00647B8E">
        <w:t>as a selection bias</w:t>
      </w:r>
    </w:p>
    <w:p w14:paraId="1B7F8AFA" w14:textId="145380DE" w:rsidR="2480EF30" w:rsidRDefault="2480EF30" w:rsidP="2480EF30"/>
    <w:p w14:paraId="4FECA254" w14:textId="44BA5A2C" w:rsidR="2480EF30" w:rsidRDefault="2480EF30" w:rsidP="2480EF30">
      <w:pPr>
        <w:ind w:left="720" w:right="-20" w:hanging="720"/>
      </w:pPr>
      <w:r w:rsidRPr="2480EF30">
        <w:rPr>
          <w:sz w:val="18"/>
          <w:szCs w:val="18"/>
        </w:rPr>
        <w:t xml:space="preserve">Al </w:t>
      </w:r>
      <w:proofErr w:type="spellStart"/>
      <w:r w:rsidRPr="2480EF30">
        <w:rPr>
          <w:sz w:val="18"/>
          <w:szCs w:val="18"/>
        </w:rPr>
        <w:t>Kaabi</w:t>
      </w:r>
      <w:proofErr w:type="spellEnd"/>
      <w:r w:rsidRPr="2480EF30">
        <w:rPr>
          <w:sz w:val="18"/>
          <w:szCs w:val="18"/>
        </w:rPr>
        <w:t xml:space="preserve">, N., Yang, Y., Eldin Hussein, S., Yang, T., Abdalla, J., Wang, H., ... &amp; Yang, X. (2023). Efficacy and Safety of a Booster Vaccination with Two Inactivated SARS-CoV-2 Vaccines on Symptomatic </w:t>
      </w:r>
      <w:r w:rsidR="00F033FE">
        <w:rPr>
          <w:sz w:val="18"/>
          <w:szCs w:val="18"/>
        </w:rPr>
        <w:t xml:space="preserve">COVID-19 </w:t>
      </w:r>
      <w:r w:rsidRPr="2480EF30">
        <w:rPr>
          <w:sz w:val="18"/>
          <w:szCs w:val="18"/>
        </w:rPr>
        <w:t xml:space="preserve">Infection in Adults: Results of a Double-Blind, Randomized, Placebo-Controlled, Phase 3 Trial in Abu Dhabi. </w:t>
      </w:r>
      <w:r w:rsidRPr="2480EF30">
        <w:rPr>
          <w:i/>
          <w:iCs/>
          <w:sz w:val="18"/>
          <w:szCs w:val="18"/>
        </w:rPr>
        <w:t>Vaccines</w:t>
      </w:r>
      <w:r w:rsidRPr="2480EF30">
        <w:rPr>
          <w:sz w:val="18"/>
          <w:szCs w:val="18"/>
        </w:rPr>
        <w:t xml:space="preserve">, </w:t>
      </w:r>
      <w:r w:rsidRPr="2480EF30">
        <w:rPr>
          <w:i/>
          <w:iCs/>
          <w:sz w:val="18"/>
          <w:szCs w:val="18"/>
        </w:rPr>
        <w:t>11</w:t>
      </w:r>
      <w:r w:rsidRPr="2480EF30">
        <w:rPr>
          <w:sz w:val="18"/>
          <w:szCs w:val="18"/>
        </w:rPr>
        <w:t>(2), 299.</w:t>
      </w:r>
    </w:p>
    <w:p w14:paraId="37CA2A2D" w14:textId="3BFB2556" w:rsidR="2480EF30" w:rsidRDefault="2480EF30" w:rsidP="2480EF30">
      <w:pPr>
        <w:ind w:left="720" w:right="-20" w:hanging="720"/>
      </w:pPr>
      <w:r w:rsidRPr="2480EF30">
        <w:rPr>
          <w:sz w:val="18"/>
          <w:szCs w:val="18"/>
        </w:rPr>
        <w:t xml:space="preserve">Ali, K., Berman, G., Zhou, H., Deng, W., Faughnan, V., Coronado-Voges, M., ... &amp; McPhee, R. (2021). Evaluation of mRNA-1273 SARS-CoV-2 vaccine in adolescents. </w:t>
      </w:r>
      <w:r w:rsidRPr="2480EF30">
        <w:rPr>
          <w:i/>
          <w:iCs/>
          <w:sz w:val="18"/>
          <w:szCs w:val="18"/>
        </w:rPr>
        <w:t>New England Journal of Medicine</w:t>
      </w:r>
      <w:r w:rsidRPr="2480EF30">
        <w:rPr>
          <w:sz w:val="18"/>
          <w:szCs w:val="18"/>
        </w:rPr>
        <w:t xml:space="preserve">, </w:t>
      </w:r>
      <w:r w:rsidRPr="2480EF30">
        <w:rPr>
          <w:i/>
          <w:iCs/>
          <w:sz w:val="18"/>
          <w:szCs w:val="18"/>
        </w:rPr>
        <w:t>385</w:t>
      </w:r>
      <w:r w:rsidRPr="2480EF30">
        <w:rPr>
          <w:sz w:val="18"/>
          <w:szCs w:val="18"/>
        </w:rPr>
        <w:t>(24), 2241-2251.</w:t>
      </w:r>
    </w:p>
    <w:p w14:paraId="4D9E029D" w14:textId="03D971EF" w:rsidR="2480EF30" w:rsidRDefault="2480EF30" w:rsidP="2480EF30">
      <w:pPr>
        <w:ind w:left="720" w:right="-20" w:hanging="720"/>
      </w:pPr>
      <w:r w:rsidRPr="2480EF30">
        <w:rPr>
          <w:sz w:val="18"/>
          <w:szCs w:val="18"/>
        </w:rPr>
        <w:t xml:space="preserve">Andrews, N., Tessier, E., Stowe, J., Gower, C., </w:t>
      </w:r>
      <w:proofErr w:type="spellStart"/>
      <w:r w:rsidRPr="2480EF30">
        <w:rPr>
          <w:sz w:val="18"/>
          <w:szCs w:val="18"/>
        </w:rPr>
        <w:t>Kirsebom</w:t>
      </w:r>
      <w:proofErr w:type="spellEnd"/>
      <w:r w:rsidRPr="2480EF30">
        <w:rPr>
          <w:sz w:val="18"/>
          <w:szCs w:val="18"/>
        </w:rPr>
        <w:t xml:space="preserve">, F., Simmons, R., ... &amp; Lopez Bernal, J. (2022). Duration of protection against mild and severe disease by </w:t>
      </w:r>
      <w:r w:rsidR="00F033FE">
        <w:rPr>
          <w:sz w:val="18"/>
          <w:szCs w:val="18"/>
        </w:rPr>
        <w:t xml:space="preserve">Covid-19 </w:t>
      </w:r>
      <w:r w:rsidRPr="2480EF30">
        <w:rPr>
          <w:sz w:val="18"/>
          <w:szCs w:val="18"/>
        </w:rPr>
        <w:t xml:space="preserve">vaccines. </w:t>
      </w:r>
      <w:r w:rsidRPr="2480EF30">
        <w:rPr>
          <w:i/>
          <w:iCs/>
          <w:sz w:val="18"/>
          <w:szCs w:val="18"/>
        </w:rPr>
        <w:t>New England Journal of Medicine</w:t>
      </w:r>
      <w:r w:rsidRPr="2480EF30">
        <w:rPr>
          <w:sz w:val="18"/>
          <w:szCs w:val="18"/>
        </w:rPr>
        <w:t xml:space="preserve">, </w:t>
      </w:r>
      <w:r w:rsidRPr="2480EF30">
        <w:rPr>
          <w:i/>
          <w:iCs/>
          <w:sz w:val="18"/>
          <w:szCs w:val="18"/>
        </w:rPr>
        <w:t>386</w:t>
      </w:r>
      <w:r w:rsidRPr="2480EF30">
        <w:rPr>
          <w:sz w:val="18"/>
          <w:szCs w:val="18"/>
        </w:rPr>
        <w:t>(4), 340-350.</w:t>
      </w:r>
    </w:p>
    <w:p w14:paraId="0314024A" w14:textId="0B4C1619" w:rsidR="2480EF30" w:rsidRDefault="2480EF30" w:rsidP="2480EF30">
      <w:pPr>
        <w:ind w:left="720" w:right="-20" w:hanging="720"/>
      </w:pPr>
      <w:proofErr w:type="spellStart"/>
      <w:r w:rsidRPr="2480EF30">
        <w:rPr>
          <w:sz w:val="18"/>
          <w:szCs w:val="18"/>
        </w:rPr>
        <w:t>Áñez</w:t>
      </w:r>
      <w:proofErr w:type="spellEnd"/>
      <w:r w:rsidRPr="2480EF30">
        <w:rPr>
          <w:sz w:val="18"/>
          <w:szCs w:val="18"/>
        </w:rPr>
        <w:t xml:space="preserve">, G., Dunkle, L. M., Gay, C. L., </w:t>
      </w:r>
      <w:proofErr w:type="spellStart"/>
      <w:r w:rsidRPr="2480EF30">
        <w:rPr>
          <w:sz w:val="18"/>
          <w:szCs w:val="18"/>
        </w:rPr>
        <w:t>Kotloff</w:t>
      </w:r>
      <w:proofErr w:type="spellEnd"/>
      <w:r w:rsidRPr="2480EF30">
        <w:rPr>
          <w:sz w:val="18"/>
          <w:szCs w:val="18"/>
        </w:rPr>
        <w:t xml:space="preserve">, K. L., </w:t>
      </w:r>
      <w:proofErr w:type="spellStart"/>
      <w:r w:rsidRPr="2480EF30">
        <w:rPr>
          <w:sz w:val="18"/>
          <w:szCs w:val="18"/>
        </w:rPr>
        <w:t>Adelglass</w:t>
      </w:r>
      <w:proofErr w:type="spellEnd"/>
      <w:r w:rsidRPr="2480EF30">
        <w:rPr>
          <w:sz w:val="18"/>
          <w:szCs w:val="18"/>
        </w:rPr>
        <w:t xml:space="preserve">, J. M., Essink, B., ... &amp; Corey, L. (2023). Safety, Immunogenicity, and Efficacy of the NVX-CoV2373 </w:t>
      </w:r>
      <w:r w:rsidR="00F033FE">
        <w:rPr>
          <w:sz w:val="18"/>
          <w:szCs w:val="18"/>
        </w:rPr>
        <w:t xml:space="preserve">COVID-19 </w:t>
      </w:r>
      <w:r w:rsidRPr="2480EF30">
        <w:rPr>
          <w:sz w:val="18"/>
          <w:szCs w:val="18"/>
        </w:rPr>
        <w:t xml:space="preserve">Vaccine in Adolescents: A Randomized Clinical Trial. </w:t>
      </w:r>
      <w:r w:rsidRPr="2480EF30">
        <w:rPr>
          <w:i/>
          <w:iCs/>
          <w:sz w:val="18"/>
          <w:szCs w:val="18"/>
        </w:rPr>
        <w:t>JAMA Network Open</w:t>
      </w:r>
      <w:r w:rsidRPr="2480EF30">
        <w:rPr>
          <w:sz w:val="18"/>
          <w:szCs w:val="18"/>
        </w:rPr>
        <w:t xml:space="preserve">, </w:t>
      </w:r>
      <w:r w:rsidRPr="2480EF30">
        <w:rPr>
          <w:i/>
          <w:iCs/>
          <w:sz w:val="18"/>
          <w:szCs w:val="18"/>
        </w:rPr>
        <w:t>6</w:t>
      </w:r>
      <w:r w:rsidRPr="2480EF30">
        <w:rPr>
          <w:sz w:val="18"/>
          <w:szCs w:val="18"/>
        </w:rPr>
        <w:t>(4), e239135-e239135.</w:t>
      </w:r>
    </w:p>
    <w:p w14:paraId="31B4BA58" w14:textId="43AB6E7A" w:rsidR="2480EF30" w:rsidRDefault="2480EF30" w:rsidP="2480EF30">
      <w:pPr>
        <w:ind w:left="720" w:right="-20" w:hanging="720"/>
      </w:pPr>
      <w:r w:rsidRPr="2480EF30">
        <w:rPr>
          <w:sz w:val="18"/>
          <w:szCs w:val="18"/>
        </w:rPr>
        <w:t xml:space="preserve">Angel, Y., Spitzer, A., Henig, O., Saiag, E., Sprecher, E., Padova, H., &amp; Ben-Ami, R. (2021). Association between vaccination with BNT162b2 and incidence of symptomatic and asymptomatic SARS-CoV-2 infections among health care workers. </w:t>
      </w:r>
      <w:r w:rsidRPr="2480EF30">
        <w:rPr>
          <w:i/>
          <w:iCs/>
          <w:sz w:val="18"/>
          <w:szCs w:val="18"/>
        </w:rPr>
        <w:t>Jama</w:t>
      </w:r>
      <w:r w:rsidRPr="2480EF30">
        <w:rPr>
          <w:sz w:val="18"/>
          <w:szCs w:val="18"/>
        </w:rPr>
        <w:t xml:space="preserve">, </w:t>
      </w:r>
      <w:r w:rsidRPr="2480EF30">
        <w:rPr>
          <w:i/>
          <w:iCs/>
          <w:sz w:val="18"/>
          <w:szCs w:val="18"/>
        </w:rPr>
        <w:t>325</w:t>
      </w:r>
      <w:r w:rsidRPr="2480EF30">
        <w:rPr>
          <w:sz w:val="18"/>
          <w:szCs w:val="18"/>
        </w:rPr>
        <w:t>(24), 2457-2465.</w:t>
      </w:r>
    </w:p>
    <w:p w14:paraId="70D1E547" w14:textId="56EEA504" w:rsidR="2480EF30" w:rsidRDefault="2480EF30" w:rsidP="2480EF30">
      <w:pPr>
        <w:ind w:left="720" w:right="-20" w:hanging="720"/>
      </w:pPr>
      <w:r w:rsidRPr="2480EF30">
        <w:rPr>
          <w:sz w:val="18"/>
          <w:szCs w:val="18"/>
        </w:rPr>
        <w:t xml:space="preserve">Arbel, R., Wolff </w:t>
      </w:r>
      <w:proofErr w:type="spellStart"/>
      <w:r w:rsidRPr="2480EF30">
        <w:rPr>
          <w:sz w:val="18"/>
          <w:szCs w:val="18"/>
        </w:rPr>
        <w:t>Sagy</w:t>
      </w:r>
      <w:proofErr w:type="spellEnd"/>
      <w:r w:rsidRPr="2480EF30">
        <w:rPr>
          <w:sz w:val="18"/>
          <w:szCs w:val="18"/>
        </w:rPr>
        <w:t xml:space="preserve">, Y., </w:t>
      </w:r>
      <w:proofErr w:type="spellStart"/>
      <w:r w:rsidRPr="2480EF30">
        <w:rPr>
          <w:sz w:val="18"/>
          <w:szCs w:val="18"/>
        </w:rPr>
        <w:t>Hoshen</w:t>
      </w:r>
      <w:proofErr w:type="spellEnd"/>
      <w:r w:rsidRPr="2480EF30">
        <w:rPr>
          <w:sz w:val="18"/>
          <w:szCs w:val="18"/>
        </w:rPr>
        <w:t xml:space="preserve">, M., Battat, E., Lavie, G., Sergienko, R., ... &amp; Netzer, D. (2022). Nirmatrelvir use and severe </w:t>
      </w:r>
      <w:r w:rsidR="00F033FE">
        <w:rPr>
          <w:sz w:val="18"/>
          <w:szCs w:val="18"/>
        </w:rPr>
        <w:t xml:space="preserve">Covid-19 </w:t>
      </w:r>
      <w:r w:rsidRPr="2480EF30">
        <w:rPr>
          <w:sz w:val="18"/>
          <w:szCs w:val="18"/>
        </w:rPr>
        <w:t xml:space="preserve">outcomes during the Omicron surge. </w:t>
      </w:r>
      <w:r w:rsidRPr="2480EF30">
        <w:rPr>
          <w:i/>
          <w:iCs/>
          <w:sz w:val="18"/>
          <w:szCs w:val="18"/>
        </w:rPr>
        <w:t>New England Journal of Medicine</w:t>
      </w:r>
      <w:r w:rsidRPr="2480EF30">
        <w:rPr>
          <w:sz w:val="18"/>
          <w:szCs w:val="18"/>
        </w:rPr>
        <w:t xml:space="preserve">, </w:t>
      </w:r>
      <w:r w:rsidRPr="2480EF30">
        <w:rPr>
          <w:i/>
          <w:iCs/>
          <w:sz w:val="18"/>
          <w:szCs w:val="18"/>
        </w:rPr>
        <w:t>387</w:t>
      </w:r>
      <w:r w:rsidRPr="2480EF30">
        <w:rPr>
          <w:sz w:val="18"/>
          <w:szCs w:val="18"/>
        </w:rPr>
        <w:t>(9), 790-798.</w:t>
      </w:r>
    </w:p>
    <w:p w14:paraId="53A1A418" w14:textId="7B45E27B" w:rsidR="2480EF30" w:rsidRDefault="2480EF30" w:rsidP="2480EF30">
      <w:pPr>
        <w:ind w:left="720" w:right="-20" w:hanging="720"/>
      </w:pPr>
      <w:r w:rsidRPr="2480EF30">
        <w:rPr>
          <w:sz w:val="18"/>
          <w:szCs w:val="18"/>
        </w:rPr>
        <w:t xml:space="preserve">Bermingham, C., Gethings, O., &amp; Nafilyan, V. (2023). </w:t>
      </w:r>
      <w:r w:rsidR="00F033FE">
        <w:rPr>
          <w:sz w:val="18"/>
          <w:szCs w:val="18"/>
        </w:rPr>
        <w:t xml:space="preserve">Covid-19 </w:t>
      </w:r>
      <w:r w:rsidRPr="2480EF30">
        <w:rPr>
          <w:sz w:val="18"/>
          <w:szCs w:val="18"/>
        </w:rPr>
        <w:t xml:space="preserve">vaccine effectiveness estimated using census 2021 variables, England: 31 March 2021 to 20 March 2022. Last accessed: February 5, 2023. Sourced from: </w:t>
      </w:r>
      <w:hyperlink r:id="rId14">
        <w:r w:rsidRPr="2480EF30">
          <w:rPr>
            <w:rStyle w:val="Hyperlink"/>
            <w:sz w:val="18"/>
            <w:szCs w:val="18"/>
          </w:rPr>
          <w:t>https://www.ons.gov.uk/peoplepopulationandcommunity/birthsdeathsandmarriages/deaths/bulletins/covid19vaccineeffectivenessestimatedusingcensus2021variablesengland/31march2021to20march2022</w:t>
        </w:r>
      </w:hyperlink>
    </w:p>
    <w:p w14:paraId="38BA3391" w14:textId="25407912" w:rsidR="2480EF30" w:rsidRDefault="2480EF30" w:rsidP="2480EF30">
      <w:pPr>
        <w:ind w:left="720" w:right="-20" w:hanging="720"/>
      </w:pPr>
      <w:r w:rsidRPr="2480EF30">
        <w:rPr>
          <w:sz w:val="18"/>
          <w:szCs w:val="18"/>
        </w:rPr>
        <w:t xml:space="preserve">Bermingham, C., Nafilyan, V., Andrews, N., &amp; Gethings, O. (2023b). Estimating the effectiveness of </w:t>
      </w:r>
      <w:r w:rsidR="00F033FE">
        <w:rPr>
          <w:sz w:val="18"/>
          <w:szCs w:val="18"/>
        </w:rPr>
        <w:t xml:space="preserve">COVID-19 </w:t>
      </w:r>
      <w:r w:rsidRPr="2480EF30">
        <w:rPr>
          <w:sz w:val="18"/>
          <w:szCs w:val="18"/>
        </w:rPr>
        <w:t xml:space="preserve">vaccination against </w:t>
      </w:r>
      <w:r w:rsidR="00F033FE">
        <w:rPr>
          <w:sz w:val="18"/>
          <w:szCs w:val="18"/>
        </w:rPr>
        <w:t xml:space="preserve">COVID-19 </w:t>
      </w:r>
      <w:r w:rsidRPr="2480EF30">
        <w:rPr>
          <w:sz w:val="18"/>
          <w:szCs w:val="18"/>
        </w:rPr>
        <w:t xml:space="preserve">hospitalisation and death: a cohort study based on the 2021 Census, England. </w:t>
      </w:r>
      <w:r w:rsidRPr="2480EF30">
        <w:rPr>
          <w:i/>
          <w:iCs/>
          <w:sz w:val="18"/>
          <w:szCs w:val="18"/>
        </w:rPr>
        <w:t>medRxiv</w:t>
      </w:r>
      <w:r w:rsidRPr="2480EF30">
        <w:rPr>
          <w:sz w:val="18"/>
          <w:szCs w:val="18"/>
        </w:rPr>
        <w:t>, 2023-06.</w:t>
      </w:r>
    </w:p>
    <w:p w14:paraId="17DEEBC7" w14:textId="5BBA17B9" w:rsidR="2480EF30" w:rsidRDefault="2480EF30" w:rsidP="2480EF30">
      <w:pPr>
        <w:ind w:left="720" w:right="-20" w:hanging="720"/>
      </w:pPr>
      <w:r w:rsidRPr="2480EF30">
        <w:rPr>
          <w:sz w:val="18"/>
          <w:szCs w:val="18"/>
        </w:rPr>
        <w:t xml:space="preserve">Baum, U., </w:t>
      </w:r>
      <w:proofErr w:type="spellStart"/>
      <w:r w:rsidRPr="2480EF30">
        <w:rPr>
          <w:sz w:val="18"/>
          <w:szCs w:val="18"/>
        </w:rPr>
        <w:t>Poukka</w:t>
      </w:r>
      <w:proofErr w:type="spellEnd"/>
      <w:r w:rsidRPr="2480EF30">
        <w:rPr>
          <w:sz w:val="18"/>
          <w:szCs w:val="18"/>
        </w:rPr>
        <w:t xml:space="preserve">, E., Leino, T., </w:t>
      </w:r>
      <w:proofErr w:type="spellStart"/>
      <w:r w:rsidRPr="2480EF30">
        <w:rPr>
          <w:sz w:val="18"/>
          <w:szCs w:val="18"/>
        </w:rPr>
        <w:t>Kilpi</w:t>
      </w:r>
      <w:proofErr w:type="spellEnd"/>
      <w:r w:rsidRPr="2480EF30">
        <w:rPr>
          <w:sz w:val="18"/>
          <w:szCs w:val="18"/>
        </w:rPr>
        <w:t xml:space="preserve">, T., </w:t>
      </w:r>
      <w:proofErr w:type="spellStart"/>
      <w:r w:rsidRPr="2480EF30">
        <w:rPr>
          <w:sz w:val="18"/>
          <w:szCs w:val="18"/>
        </w:rPr>
        <w:t>Nohynek</w:t>
      </w:r>
      <w:proofErr w:type="spellEnd"/>
      <w:r w:rsidRPr="2480EF30">
        <w:rPr>
          <w:sz w:val="18"/>
          <w:szCs w:val="18"/>
        </w:rPr>
        <w:t xml:space="preserve">, H., &amp; Palmu, A. A. (2022). High vaccine effectiveness against severe </w:t>
      </w:r>
      <w:r w:rsidR="00F033FE">
        <w:rPr>
          <w:sz w:val="18"/>
          <w:szCs w:val="18"/>
        </w:rPr>
        <w:t xml:space="preserve">COVID-19 </w:t>
      </w:r>
      <w:r w:rsidRPr="2480EF30">
        <w:rPr>
          <w:sz w:val="18"/>
          <w:szCs w:val="18"/>
        </w:rPr>
        <w:t xml:space="preserve">in the elderly in Finland before and after the emergence of Omicron. </w:t>
      </w:r>
      <w:r w:rsidRPr="2480EF30">
        <w:rPr>
          <w:i/>
          <w:iCs/>
          <w:sz w:val="18"/>
          <w:szCs w:val="18"/>
        </w:rPr>
        <w:t>BMC Infectious Diseases</w:t>
      </w:r>
      <w:r w:rsidRPr="2480EF30">
        <w:rPr>
          <w:sz w:val="18"/>
          <w:szCs w:val="18"/>
        </w:rPr>
        <w:t xml:space="preserve">, </w:t>
      </w:r>
      <w:r w:rsidRPr="2480EF30">
        <w:rPr>
          <w:i/>
          <w:iCs/>
          <w:sz w:val="18"/>
          <w:szCs w:val="18"/>
        </w:rPr>
        <w:t>22</w:t>
      </w:r>
      <w:r w:rsidRPr="2480EF30">
        <w:rPr>
          <w:sz w:val="18"/>
          <w:szCs w:val="18"/>
        </w:rPr>
        <w:t>(1), 1-9.</w:t>
      </w:r>
    </w:p>
    <w:p w14:paraId="349E8FC0" w14:textId="1216789E" w:rsidR="2480EF30" w:rsidRDefault="2480EF30" w:rsidP="2480EF30">
      <w:pPr>
        <w:ind w:left="720" w:right="-20" w:hanging="720"/>
      </w:pPr>
      <w:r w:rsidRPr="2480EF30">
        <w:rPr>
          <w:sz w:val="18"/>
          <w:szCs w:val="18"/>
        </w:rPr>
        <w:t xml:space="preserve">Buchan, S. A., Chung, H., Brown, K. A., Austin, P. C., Fell, D. B., Gubbay, J. B., ... &amp; Kwong, J. C. (2022). Estimated effectiveness of </w:t>
      </w:r>
      <w:r w:rsidR="00F033FE">
        <w:rPr>
          <w:sz w:val="18"/>
          <w:szCs w:val="18"/>
        </w:rPr>
        <w:t xml:space="preserve">COVID-19 </w:t>
      </w:r>
      <w:r w:rsidRPr="2480EF30">
        <w:rPr>
          <w:sz w:val="18"/>
          <w:szCs w:val="18"/>
        </w:rPr>
        <w:t xml:space="preserve">vaccines against Omicron or Delta symptomatic infection and severe outcomes. </w:t>
      </w:r>
      <w:r w:rsidRPr="2480EF30">
        <w:rPr>
          <w:i/>
          <w:iCs/>
          <w:sz w:val="18"/>
          <w:szCs w:val="18"/>
        </w:rPr>
        <w:t>JAMA network open</w:t>
      </w:r>
      <w:r w:rsidRPr="2480EF30">
        <w:rPr>
          <w:sz w:val="18"/>
          <w:szCs w:val="18"/>
        </w:rPr>
        <w:t xml:space="preserve">, </w:t>
      </w:r>
      <w:r w:rsidRPr="2480EF30">
        <w:rPr>
          <w:i/>
          <w:iCs/>
          <w:sz w:val="18"/>
          <w:szCs w:val="18"/>
        </w:rPr>
        <w:t>5</w:t>
      </w:r>
      <w:r w:rsidRPr="2480EF30">
        <w:rPr>
          <w:sz w:val="18"/>
          <w:szCs w:val="18"/>
        </w:rPr>
        <w:t>(9), e2232760-e2232760.</w:t>
      </w:r>
    </w:p>
    <w:p w14:paraId="3D02E2A8" w14:textId="538C7ED7" w:rsidR="2480EF30" w:rsidRDefault="2480EF30" w:rsidP="2480EF30">
      <w:pPr>
        <w:ind w:left="720" w:right="-20" w:hanging="720"/>
      </w:pPr>
      <w:r w:rsidRPr="2480EF30">
        <w:rPr>
          <w:sz w:val="18"/>
          <w:szCs w:val="18"/>
        </w:rPr>
        <w:t xml:space="preserve">Carazo, S., Skowronski, D. M., Brisson, M., </w:t>
      </w:r>
      <w:proofErr w:type="spellStart"/>
      <w:r w:rsidRPr="2480EF30">
        <w:rPr>
          <w:sz w:val="18"/>
          <w:szCs w:val="18"/>
        </w:rPr>
        <w:t>Barkati</w:t>
      </w:r>
      <w:proofErr w:type="spellEnd"/>
      <w:r w:rsidRPr="2480EF30">
        <w:rPr>
          <w:sz w:val="18"/>
          <w:szCs w:val="18"/>
        </w:rPr>
        <w:t xml:space="preserve">, S., Sauvageau, C., Brousseau, N., ... &amp; De Serres, G. (2022). Protection against Omicron BA. 2 reinfection conferred by primary Omicron or pre-Omicron infection with and without mRNA vaccination. </w:t>
      </w:r>
      <w:r w:rsidRPr="2480EF30">
        <w:rPr>
          <w:i/>
          <w:iCs/>
          <w:sz w:val="18"/>
          <w:szCs w:val="18"/>
        </w:rPr>
        <w:t>medRxiv</w:t>
      </w:r>
      <w:r w:rsidRPr="2480EF30">
        <w:rPr>
          <w:sz w:val="18"/>
          <w:szCs w:val="18"/>
        </w:rPr>
        <w:t>, 2022-06.</w:t>
      </w:r>
    </w:p>
    <w:p w14:paraId="0D7E98AC" w14:textId="311DACD2" w:rsidR="2480EF30" w:rsidRDefault="2480EF30" w:rsidP="2480EF30">
      <w:pPr>
        <w:ind w:left="720" w:right="-20" w:hanging="720"/>
      </w:pPr>
      <w:r w:rsidRPr="2480EF30">
        <w:rPr>
          <w:sz w:val="18"/>
          <w:szCs w:val="18"/>
        </w:rPr>
        <w:t xml:space="preserve">Chung, H., Austin, P. C., Brown, K. A., Buchan, S. A., Fell, D. B., Fong, C., ... &amp; Kwong, J. C. (2022, September). Effectiveness of </w:t>
      </w:r>
      <w:r w:rsidR="00F033FE">
        <w:rPr>
          <w:sz w:val="18"/>
          <w:szCs w:val="18"/>
        </w:rPr>
        <w:t xml:space="preserve">COVID-19 </w:t>
      </w:r>
      <w:r w:rsidRPr="2480EF30">
        <w:rPr>
          <w:sz w:val="18"/>
          <w:szCs w:val="18"/>
        </w:rPr>
        <w:t xml:space="preserve">vaccines over time prior to omicron emergence in Ontario, Canada: test-negative design study. In </w:t>
      </w:r>
      <w:r w:rsidRPr="2480EF30">
        <w:rPr>
          <w:i/>
          <w:iCs/>
          <w:sz w:val="18"/>
          <w:szCs w:val="18"/>
        </w:rPr>
        <w:t>Open Forum Infectious Diseases</w:t>
      </w:r>
      <w:r w:rsidRPr="2480EF30">
        <w:rPr>
          <w:sz w:val="18"/>
          <w:szCs w:val="18"/>
        </w:rPr>
        <w:t xml:space="preserve"> (Vol. 9, No. 9, p. ofac449). US: Oxford University Press.</w:t>
      </w:r>
    </w:p>
    <w:p w14:paraId="47A445B5" w14:textId="5B9CA548" w:rsidR="2480EF30" w:rsidRDefault="2480EF30" w:rsidP="2480EF30">
      <w:pPr>
        <w:ind w:left="720" w:right="-20" w:hanging="720"/>
      </w:pPr>
      <w:r w:rsidRPr="2480EF30">
        <w:rPr>
          <w:sz w:val="18"/>
          <w:szCs w:val="18"/>
        </w:rPr>
        <w:t xml:space="preserve">Dagan, N., </w:t>
      </w:r>
      <w:proofErr w:type="spellStart"/>
      <w:r w:rsidRPr="2480EF30">
        <w:rPr>
          <w:sz w:val="18"/>
          <w:szCs w:val="18"/>
        </w:rPr>
        <w:t>Barda</w:t>
      </w:r>
      <w:proofErr w:type="spellEnd"/>
      <w:r w:rsidRPr="2480EF30">
        <w:rPr>
          <w:sz w:val="18"/>
          <w:szCs w:val="18"/>
        </w:rPr>
        <w:t xml:space="preserve">, N., </w:t>
      </w:r>
      <w:proofErr w:type="spellStart"/>
      <w:r w:rsidRPr="2480EF30">
        <w:rPr>
          <w:sz w:val="18"/>
          <w:szCs w:val="18"/>
        </w:rPr>
        <w:t>Kepten</w:t>
      </w:r>
      <w:proofErr w:type="spellEnd"/>
      <w:r w:rsidRPr="2480EF30">
        <w:rPr>
          <w:sz w:val="18"/>
          <w:szCs w:val="18"/>
        </w:rPr>
        <w:t xml:space="preserve">, E., Miron, O., </w:t>
      </w:r>
      <w:proofErr w:type="spellStart"/>
      <w:r w:rsidRPr="2480EF30">
        <w:rPr>
          <w:sz w:val="18"/>
          <w:szCs w:val="18"/>
        </w:rPr>
        <w:t>Perchik</w:t>
      </w:r>
      <w:proofErr w:type="spellEnd"/>
      <w:r w:rsidRPr="2480EF30">
        <w:rPr>
          <w:sz w:val="18"/>
          <w:szCs w:val="18"/>
        </w:rPr>
        <w:t xml:space="preserve">, S., Katz, M. A., ... &amp; </w:t>
      </w:r>
      <w:proofErr w:type="spellStart"/>
      <w:r w:rsidRPr="2480EF30">
        <w:rPr>
          <w:sz w:val="18"/>
          <w:szCs w:val="18"/>
        </w:rPr>
        <w:t>Balicer</w:t>
      </w:r>
      <w:proofErr w:type="spellEnd"/>
      <w:r w:rsidRPr="2480EF30">
        <w:rPr>
          <w:sz w:val="18"/>
          <w:szCs w:val="18"/>
        </w:rPr>
        <w:t xml:space="preserve">, R. D. (2021). BNT162b2 mRNA </w:t>
      </w:r>
      <w:r w:rsidR="00F033FE">
        <w:rPr>
          <w:sz w:val="18"/>
          <w:szCs w:val="18"/>
        </w:rPr>
        <w:t xml:space="preserve">Covid-19 </w:t>
      </w:r>
      <w:r w:rsidRPr="2480EF30">
        <w:rPr>
          <w:sz w:val="18"/>
          <w:szCs w:val="18"/>
        </w:rPr>
        <w:t xml:space="preserve">vaccine in a nationwide mass vaccination setting. </w:t>
      </w:r>
      <w:r w:rsidRPr="2480EF30">
        <w:rPr>
          <w:i/>
          <w:iCs/>
          <w:sz w:val="18"/>
          <w:szCs w:val="18"/>
        </w:rPr>
        <w:t>New England Journal of Medicine</w:t>
      </w:r>
      <w:r w:rsidRPr="2480EF30">
        <w:rPr>
          <w:sz w:val="18"/>
          <w:szCs w:val="18"/>
        </w:rPr>
        <w:t xml:space="preserve">, </w:t>
      </w:r>
      <w:r w:rsidRPr="2480EF30">
        <w:rPr>
          <w:i/>
          <w:iCs/>
          <w:sz w:val="18"/>
          <w:szCs w:val="18"/>
        </w:rPr>
        <w:t>384</w:t>
      </w:r>
      <w:r w:rsidRPr="2480EF30">
        <w:rPr>
          <w:sz w:val="18"/>
          <w:szCs w:val="18"/>
        </w:rPr>
        <w:t>(15), 1412-1423.</w:t>
      </w:r>
    </w:p>
    <w:p w14:paraId="195BAD69" w14:textId="25819886" w:rsidR="2480EF30" w:rsidRDefault="2480EF30" w:rsidP="2480EF30">
      <w:pPr>
        <w:ind w:left="720" w:right="-20" w:hanging="720"/>
      </w:pPr>
      <w:r w:rsidRPr="2480EF30">
        <w:rPr>
          <w:sz w:val="18"/>
          <w:szCs w:val="18"/>
        </w:rPr>
        <w:t xml:space="preserve">Ferdinands, J. M., Rao, S., Dixon, B. E., Mitchell, P. K., DeSilva, M. B., Irving, S. A., ... &amp; Fireman, B. (2022). Waning of vaccine effectiveness against moderate and severe </w:t>
      </w:r>
      <w:r w:rsidR="00F033FE">
        <w:rPr>
          <w:sz w:val="18"/>
          <w:szCs w:val="18"/>
        </w:rPr>
        <w:t xml:space="preserve">Covid-19 </w:t>
      </w:r>
      <w:r w:rsidRPr="2480EF30">
        <w:rPr>
          <w:sz w:val="18"/>
          <w:szCs w:val="18"/>
        </w:rPr>
        <w:t xml:space="preserve">among adults in the US from the VISION network: test negative, case-control study. </w:t>
      </w:r>
      <w:proofErr w:type="spellStart"/>
      <w:r w:rsidRPr="2480EF30">
        <w:rPr>
          <w:i/>
          <w:iCs/>
          <w:sz w:val="18"/>
          <w:szCs w:val="18"/>
        </w:rPr>
        <w:t>bmj</w:t>
      </w:r>
      <w:proofErr w:type="spellEnd"/>
      <w:r w:rsidRPr="2480EF30">
        <w:rPr>
          <w:sz w:val="18"/>
          <w:szCs w:val="18"/>
        </w:rPr>
        <w:t xml:space="preserve">, </w:t>
      </w:r>
      <w:r w:rsidRPr="2480EF30">
        <w:rPr>
          <w:i/>
          <w:iCs/>
          <w:sz w:val="18"/>
          <w:szCs w:val="18"/>
        </w:rPr>
        <w:t>379</w:t>
      </w:r>
      <w:r w:rsidRPr="2480EF30">
        <w:rPr>
          <w:sz w:val="18"/>
          <w:szCs w:val="18"/>
        </w:rPr>
        <w:t>.</w:t>
      </w:r>
    </w:p>
    <w:p w14:paraId="45C695E8" w14:textId="5ED14B9A" w:rsidR="2480EF30" w:rsidRDefault="2480EF30" w:rsidP="2480EF30">
      <w:pPr>
        <w:ind w:left="720" w:right="-20" w:hanging="720"/>
      </w:pPr>
      <w:r w:rsidRPr="2480EF30">
        <w:rPr>
          <w:sz w:val="18"/>
          <w:szCs w:val="18"/>
        </w:rPr>
        <w:t xml:space="preserve">Haas, E. J., Angulo, F. J., McLaughlin, J. M., Anis, E., Singer, S. R., Khan, F., ... &amp; Alroy-Preis, S. (2021). Impact and effectiveness of mRNA BNT162b2 vaccine against SARS-CoV-2 infections and </w:t>
      </w:r>
      <w:r w:rsidR="00F033FE">
        <w:rPr>
          <w:sz w:val="18"/>
          <w:szCs w:val="18"/>
        </w:rPr>
        <w:t xml:space="preserve">COVID-19 </w:t>
      </w:r>
      <w:r w:rsidRPr="2480EF30">
        <w:rPr>
          <w:sz w:val="18"/>
          <w:szCs w:val="18"/>
        </w:rPr>
        <w:t xml:space="preserve">cases, hospitalisations, and deaths following a nationwide vaccination campaign in Israel: an observational study using national surveillance data. </w:t>
      </w:r>
      <w:r w:rsidRPr="2480EF30">
        <w:rPr>
          <w:i/>
          <w:iCs/>
          <w:sz w:val="18"/>
          <w:szCs w:val="18"/>
        </w:rPr>
        <w:t>The Lancet</w:t>
      </w:r>
      <w:r w:rsidRPr="2480EF30">
        <w:rPr>
          <w:sz w:val="18"/>
          <w:szCs w:val="18"/>
        </w:rPr>
        <w:t xml:space="preserve">, </w:t>
      </w:r>
      <w:r w:rsidRPr="2480EF30">
        <w:rPr>
          <w:i/>
          <w:iCs/>
          <w:sz w:val="18"/>
          <w:szCs w:val="18"/>
        </w:rPr>
        <w:t>397</w:t>
      </w:r>
      <w:r w:rsidRPr="2480EF30">
        <w:rPr>
          <w:sz w:val="18"/>
          <w:szCs w:val="18"/>
        </w:rPr>
        <w:t>(10287), 1819-1829.</w:t>
      </w:r>
    </w:p>
    <w:p w14:paraId="61361221" w14:textId="48DC51BC" w:rsidR="2480EF30" w:rsidRDefault="2480EF30" w:rsidP="2480EF30">
      <w:pPr>
        <w:ind w:left="720" w:right="-20" w:hanging="720"/>
      </w:pPr>
      <w:r w:rsidRPr="2480EF30">
        <w:rPr>
          <w:sz w:val="18"/>
          <w:szCs w:val="18"/>
        </w:rPr>
        <w:t xml:space="preserve">Heath, P. T., Galiza, E. P., Baxter, D. N., </w:t>
      </w:r>
      <w:proofErr w:type="spellStart"/>
      <w:r w:rsidRPr="2480EF30">
        <w:rPr>
          <w:sz w:val="18"/>
          <w:szCs w:val="18"/>
        </w:rPr>
        <w:t>Boffito</w:t>
      </w:r>
      <w:proofErr w:type="spellEnd"/>
      <w:r w:rsidRPr="2480EF30">
        <w:rPr>
          <w:sz w:val="18"/>
          <w:szCs w:val="18"/>
        </w:rPr>
        <w:t xml:space="preserve">, M., Browne, D., Burns, F., ... &amp; Toback, S. (2023). Safety and efficacy of the NVX-CoV2373 Coronavirus disease 2019 vaccine at completion of the placebo-controlled phase of a randomized controlled trial. </w:t>
      </w:r>
      <w:r w:rsidRPr="2480EF30">
        <w:rPr>
          <w:i/>
          <w:iCs/>
          <w:sz w:val="18"/>
          <w:szCs w:val="18"/>
        </w:rPr>
        <w:t>Clinical Infectious Diseases</w:t>
      </w:r>
      <w:r w:rsidRPr="2480EF30">
        <w:rPr>
          <w:sz w:val="18"/>
          <w:szCs w:val="18"/>
        </w:rPr>
        <w:t xml:space="preserve">, </w:t>
      </w:r>
      <w:r w:rsidRPr="2480EF30">
        <w:rPr>
          <w:i/>
          <w:iCs/>
          <w:sz w:val="18"/>
          <w:szCs w:val="18"/>
        </w:rPr>
        <w:t>76</w:t>
      </w:r>
      <w:r w:rsidRPr="2480EF30">
        <w:rPr>
          <w:sz w:val="18"/>
          <w:szCs w:val="18"/>
        </w:rPr>
        <w:t>(3), 398-407.</w:t>
      </w:r>
    </w:p>
    <w:p w14:paraId="31C35C81" w14:textId="72D6B0AC" w:rsidR="2480EF30" w:rsidRDefault="2480EF30" w:rsidP="2480EF30">
      <w:pPr>
        <w:ind w:left="720" w:right="-20" w:hanging="720"/>
      </w:pPr>
      <w:proofErr w:type="spellStart"/>
      <w:r w:rsidRPr="2480EF30">
        <w:rPr>
          <w:sz w:val="18"/>
          <w:szCs w:val="18"/>
        </w:rPr>
        <w:t>Khairullin</w:t>
      </w:r>
      <w:proofErr w:type="spellEnd"/>
      <w:r w:rsidRPr="2480EF30">
        <w:rPr>
          <w:sz w:val="18"/>
          <w:szCs w:val="18"/>
        </w:rPr>
        <w:t xml:space="preserve">, B., Zakarya, K., </w:t>
      </w:r>
      <w:proofErr w:type="spellStart"/>
      <w:r w:rsidRPr="2480EF30">
        <w:rPr>
          <w:sz w:val="18"/>
          <w:szCs w:val="18"/>
        </w:rPr>
        <w:t>Orynbayev</w:t>
      </w:r>
      <w:proofErr w:type="spellEnd"/>
      <w:r w:rsidRPr="2480EF30">
        <w:rPr>
          <w:sz w:val="18"/>
          <w:szCs w:val="18"/>
        </w:rPr>
        <w:t xml:space="preserve">, M., </w:t>
      </w:r>
      <w:proofErr w:type="spellStart"/>
      <w:r w:rsidRPr="2480EF30">
        <w:rPr>
          <w:sz w:val="18"/>
          <w:szCs w:val="18"/>
        </w:rPr>
        <w:t>Abduraimov</w:t>
      </w:r>
      <w:proofErr w:type="spellEnd"/>
      <w:r w:rsidRPr="2480EF30">
        <w:rPr>
          <w:sz w:val="18"/>
          <w:szCs w:val="18"/>
        </w:rPr>
        <w:t xml:space="preserve">, Y., </w:t>
      </w:r>
      <w:proofErr w:type="spellStart"/>
      <w:r w:rsidRPr="2480EF30">
        <w:rPr>
          <w:sz w:val="18"/>
          <w:szCs w:val="18"/>
        </w:rPr>
        <w:t>Kassenov</w:t>
      </w:r>
      <w:proofErr w:type="spellEnd"/>
      <w:r w:rsidRPr="2480EF30">
        <w:rPr>
          <w:sz w:val="18"/>
          <w:szCs w:val="18"/>
        </w:rPr>
        <w:t xml:space="preserve">, M., </w:t>
      </w:r>
      <w:proofErr w:type="spellStart"/>
      <w:r w:rsidRPr="2480EF30">
        <w:rPr>
          <w:sz w:val="18"/>
          <w:szCs w:val="18"/>
        </w:rPr>
        <w:t>Sarsenbayeva</w:t>
      </w:r>
      <w:proofErr w:type="spellEnd"/>
      <w:r w:rsidRPr="2480EF30">
        <w:rPr>
          <w:sz w:val="18"/>
          <w:szCs w:val="18"/>
        </w:rPr>
        <w:t xml:space="preserve">, G., ... &amp; </w:t>
      </w:r>
      <w:proofErr w:type="spellStart"/>
      <w:r w:rsidRPr="2480EF30">
        <w:rPr>
          <w:sz w:val="18"/>
          <w:szCs w:val="18"/>
        </w:rPr>
        <w:t>Kutumbetov</w:t>
      </w:r>
      <w:proofErr w:type="spellEnd"/>
      <w:r w:rsidRPr="2480EF30">
        <w:rPr>
          <w:sz w:val="18"/>
          <w:szCs w:val="18"/>
        </w:rPr>
        <w:t xml:space="preserve">, L. (2022). Efficacy and safety of an inactivated whole-virion vaccine against COVID-19, </w:t>
      </w:r>
      <w:proofErr w:type="spellStart"/>
      <w:r w:rsidRPr="2480EF30">
        <w:rPr>
          <w:sz w:val="18"/>
          <w:szCs w:val="18"/>
        </w:rPr>
        <w:t>QazCovid</w:t>
      </w:r>
      <w:proofErr w:type="spellEnd"/>
      <w:r w:rsidRPr="2480EF30">
        <w:rPr>
          <w:sz w:val="18"/>
          <w:szCs w:val="18"/>
        </w:rPr>
        <w:t xml:space="preserve">-in®, in healthy adults: a multicentre, randomised, single-blind, placebo-controlled phase 3 clinical trial with a 6-month follow-up. </w:t>
      </w:r>
      <w:proofErr w:type="spellStart"/>
      <w:r w:rsidRPr="2480EF30">
        <w:rPr>
          <w:i/>
          <w:iCs/>
          <w:sz w:val="18"/>
          <w:szCs w:val="18"/>
        </w:rPr>
        <w:t>EClinicalMedicine</w:t>
      </w:r>
      <w:proofErr w:type="spellEnd"/>
      <w:r w:rsidRPr="2480EF30">
        <w:rPr>
          <w:sz w:val="18"/>
          <w:szCs w:val="18"/>
        </w:rPr>
        <w:t xml:space="preserve">, </w:t>
      </w:r>
      <w:r w:rsidRPr="2480EF30">
        <w:rPr>
          <w:i/>
          <w:iCs/>
          <w:sz w:val="18"/>
          <w:szCs w:val="18"/>
        </w:rPr>
        <w:t>50</w:t>
      </w:r>
      <w:r w:rsidRPr="2480EF30">
        <w:rPr>
          <w:sz w:val="18"/>
          <w:szCs w:val="18"/>
        </w:rPr>
        <w:t>.</w:t>
      </w:r>
    </w:p>
    <w:p w14:paraId="478A8F86" w14:textId="3B7D05A3" w:rsidR="2480EF30" w:rsidRDefault="2480EF30" w:rsidP="2480EF30">
      <w:pPr>
        <w:ind w:left="720" w:right="-20" w:hanging="720"/>
      </w:pPr>
      <w:r w:rsidRPr="2480EF30">
        <w:rPr>
          <w:sz w:val="18"/>
          <w:szCs w:val="18"/>
        </w:rPr>
        <w:t xml:space="preserve">Kitano, T., Thompson, D. A., Engineer, L., Dudley, M. Z., &amp; Salmon, D. A. (2023). Risk and benefit of mRNA </w:t>
      </w:r>
      <w:r w:rsidR="00F033FE">
        <w:rPr>
          <w:sz w:val="18"/>
          <w:szCs w:val="18"/>
        </w:rPr>
        <w:t xml:space="preserve">COVID-19 </w:t>
      </w:r>
      <w:r w:rsidRPr="2480EF30">
        <w:rPr>
          <w:sz w:val="18"/>
          <w:szCs w:val="18"/>
        </w:rPr>
        <w:t xml:space="preserve">vaccines for the omicron variant by age, sex, and presence of comorbidity: a quality-adjusted life years analysis. </w:t>
      </w:r>
      <w:r w:rsidRPr="2480EF30">
        <w:rPr>
          <w:i/>
          <w:iCs/>
          <w:sz w:val="18"/>
          <w:szCs w:val="18"/>
        </w:rPr>
        <w:t>American Journal of Epidemiology</w:t>
      </w:r>
      <w:r w:rsidRPr="2480EF30">
        <w:rPr>
          <w:sz w:val="18"/>
          <w:szCs w:val="18"/>
        </w:rPr>
        <w:t>, kwad058.</w:t>
      </w:r>
    </w:p>
    <w:p w14:paraId="7897AA34" w14:textId="36DFF4D5" w:rsidR="2480EF30" w:rsidRDefault="2480EF30" w:rsidP="2480EF30">
      <w:pPr>
        <w:ind w:left="720" w:right="-20" w:hanging="720"/>
      </w:pPr>
      <w:r w:rsidRPr="2480EF30">
        <w:rPr>
          <w:sz w:val="18"/>
          <w:szCs w:val="18"/>
        </w:rPr>
        <w:t xml:space="preserve">Liu, B., Stepien, S., Dobbins, T., Gidding, H., Henry, D., Korda, R., ... &amp; Macartney, K. (2023). Effectiveness of </w:t>
      </w:r>
      <w:r w:rsidR="00F033FE">
        <w:rPr>
          <w:sz w:val="18"/>
          <w:szCs w:val="18"/>
        </w:rPr>
        <w:t xml:space="preserve">COVID-19 </w:t>
      </w:r>
      <w:r w:rsidRPr="2480EF30">
        <w:rPr>
          <w:sz w:val="18"/>
          <w:szCs w:val="18"/>
        </w:rPr>
        <w:t xml:space="preserve">vaccination against </w:t>
      </w:r>
      <w:r w:rsidR="00F033FE">
        <w:rPr>
          <w:sz w:val="18"/>
          <w:szCs w:val="18"/>
        </w:rPr>
        <w:t xml:space="preserve">COVID-19 </w:t>
      </w:r>
      <w:r w:rsidRPr="2480EF30">
        <w:rPr>
          <w:sz w:val="18"/>
          <w:szCs w:val="18"/>
        </w:rPr>
        <w:t xml:space="preserve">specific and all-cause mortality in older Australians: a population-based study. </w:t>
      </w:r>
      <w:r w:rsidRPr="2480EF30">
        <w:rPr>
          <w:i/>
          <w:iCs/>
          <w:sz w:val="18"/>
          <w:szCs w:val="18"/>
        </w:rPr>
        <w:t>The Lancet Regional Health–Western Pacific</w:t>
      </w:r>
      <w:r w:rsidRPr="2480EF30">
        <w:rPr>
          <w:sz w:val="18"/>
          <w:szCs w:val="18"/>
        </w:rPr>
        <w:t xml:space="preserve">, </w:t>
      </w:r>
      <w:r w:rsidRPr="2480EF30">
        <w:rPr>
          <w:i/>
          <w:iCs/>
          <w:sz w:val="18"/>
          <w:szCs w:val="18"/>
        </w:rPr>
        <w:t>40</w:t>
      </w:r>
      <w:r w:rsidRPr="2480EF30">
        <w:rPr>
          <w:sz w:val="18"/>
          <w:szCs w:val="18"/>
        </w:rPr>
        <w:t>.</w:t>
      </w:r>
    </w:p>
    <w:p w14:paraId="34B15F61" w14:textId="2EB0724B" w:rsidR="2480EF30" w:rsidRDefault="2480EF30" w:rsidP="2480EF30">
      <w:pPr>
        <w:ind w:left="720" w:right="-20" w:hanging="720"/>
      </w:pPr>
      <w:r w:rsidRPr="2480EF30">
        <w:rPr>
          <w:sz w:val="18"/>
          <w:szCs w:val="18"/>
        </w:rPr>
        <w:lastRenderedPageBreak/>
        <w:t xml:space="preserve">Lyngse, F. P., Mølbak, K., Denwood, M., Christiansen, L. E., Møller, C. H., Rasmussen, M., ... &amp; Kirkeby, C. T. (2022). Effect of vaccination on household transmission of SARS-CoV-2 Delta variant of concern. </w:t>
      </w:r>
      <w:r w:rsidRPr="2480EF30">
        <w:rPr>
          <w:i/>
          <w:iCs/>
          <w:sz w:val="18"/>
          <w:szCs w:val="18"/>
        </w:rPr>
        <w:t>Nature Communications</w:t>
      </w:r>
      <w:r w:rsidRPr="2480EF30">
        <w:rPr>
          <w:sz w:val="18"/>
          <w:szCs w:val="18"/>
        </w:rPr>
        <w:t xml:space="preserve">, </w:t>
      </w:r>
      <w:r w:rsidRPr="2480EF30">
        <w:rPr>
          <w:i/>
          <w:iCs/>
          <w:sz w:val="18"/>
          <w:szCs w:val="18"/>
        </w:rPr>
        <w:t>13</w:t>
      </w:r>
      <w:r w:rsidRPr="2480EF30">
        <w:rPr>
          <w:sz w:val="18"/>
          <w:szCs w:val="18"/>
        </w:rPr>
        <w:t>(1), 3764.</w:t>
      </w:r>
    </w:p>
    <w:p w14:paraId="13D55ADE" w14:textId="35F04EE7" w:rsidR="2480EF30" w:rsidRDefault="2480EF30" w:rsidP="2480EF30">
      <w:pPr>
        <w:ind w:left="720" w:right="-20" w:hanging="720"/>
      </w:pPr>
      <w:r w:rsidRPr="2480EF30">
        <w:rPr>
          <w:sz w:val="18"/>
          <w:szCs w:val="18"/>
        </w:rPr>
        <w:t xml:space="preserve">Lyngse, F. P., Mortensen, L. H., Denwood, M. J., Christiansen, L. E., Møller, C. H., Skov, R. L., ... &amp; Kirkeby, C. T. (2022). Household transmission of the SARS-CoV-2 Omicron variant in Denmark. </w:t>
      </w:r>
      <w:r w:rsidRPr="2480EF30">
        <w:rPr>
          <w:i/>
          <w:iCs/>
          <w:sz w:val="18"/>
          <w:szCs w:val="18"/>
        </w:rPr>
        <w:t>Nature Communications</w:t>
      </w:r>
      <w:r w:rsidRPr="2480EF30">
        <w:rPr>
          <w:sz w:val="18"/>
          <w:szCs w:val="18"/>
        </w:rPr>
        <w:t xml:space="preserve">, </w:t>
      </w:r>
      <w:r w:rsidRPr="2480EF30">
        <w:rPr>
          <w:i/>
          <w:iCs/>
          <w:sz w:val="18"/>
          <w:szCs w:val="18"/>
        </w:rPr>
        <w:t>13</w:t>
      </w:r>
      <w:r w:rsidRPr="2480EF30">
        <w:rPr>
          <w:sz w:val="18"/>
          <w:szCs w:val="18"/>
        </w:rPr>
        <w:t>(1), 5573.</w:t>
      </w:r>
    </w:p>
    <w:p w14:paraId="63778447" w14:textId="1829DFAD" w:rsidR="2480EF30" w:rsidRDefault="2480EF30" w:rsidP="2480EF30">
      <w:pPr>
        <w:ind w:left="720" w:right="-20" w:hanging="720"/>
      </w:pPr>
      <w:r w:rsidRPr="2480EF30">
        <w:rPr>
          <w:sz w:val="18"/>
          <w:szCs w:val="18"/>
        </w:rPr>
        <w:t xml:space="preserve">Mitchell, R., Cayen, J., Thampi, N., Frenette, C., </w:t>
      </w:r>
      <w:proofErr w:type="spellStart"/>
      <w:r w:rsidRPr="2480EF30">
        <w:rPr>
          <w:sz w:val="18"/>
          <w:szCs w:val="18"/>
        </w:rPr>
        <w:t>Bartoskzo</w:t>
      </w:r>
      <w:proofErr w:type="spellEnd"/>
      <w:r w:rsidRPr="2480EF30">
        <w:rPr>
          <w:sz w:val="18"/>
          <w:szCs w:val="18"/>
        </w:rPr>
        <w:t xml:space="preserve">, J., Choi, K. B., ... &amp; </w:t>
      </w:r>
      <w:proofErr w:type="spellStart"/>
      <w:r w:rsidRPr="2480EF30">
        <w:rPr>
          <w:sz w:val="18"/>
          <w:szCs w:val="18"/>
        </w:rPr>
        <w:t>Pelude</w:t>
      </w:r>
      <w:proofErr w:type="spellEnd"/>
      <w:r w:rsidRPr="2480EF30">
        <w:rPr>
          <w:sz w:val="18"/>
          <w:szCs w:val="18"/>
        </w:rPr>
        <w:t xml:space="preserve">, L. (2023). Trends in severe outcomes among adult and </w:t>
      </w:r>
      <w:proofErr w:type="spellStart"/>
      <w:r w:rsidRPr="2480EF30">
        <w:rPr>
          <w:sz w:val="18"/>
          <w:szCs w:val="18"/>
        </w:rPr>
        <w:t>pediatric</w:t>
      </w:r>
      <w:proofErr w:type="spellEnd"/>
      <w:r w:rsidRPr="2480EF30">
        <w:rPr>
          <w:sz w:val="18"/>
          <w:szCs w:val="18"/>
        </w:rPr>
        <w:t xml:space="preserve"> patients hospitalized with </w:t>
      </w:r>
      <w:r w:rsidR="00F033FE">
        <w:rPr>
          <w:sz w:val="18"/>
          <w:szCs w:val="18"/>
        </w:rPr>
        <w:t xml:space="preserve">COVID-19 </w:t>
      </w:r>
      <w:r w:rsidRPr="2480EF30">
        <w:rPr>
          <w:sz w:val="18"/>
          <w:szCs w:val="18"/>
        </w:rPr>
        <w:t xml:space="preserve">in the Canadian Nosocomial Infection Surveillance Program, March 2020 to May 2022. </w:t>
      </w:r>
      <w:r w:rsidRPr="2480EF30">
        <w:rPr>
          <w:i/>
          <w:iCs/>
          <w:sz w:val="18"/>
          <w:szCs w:val="18"/>
        </w:rPr>
        <w:t>JAMA Network Open</w:t>
      </w:r>
      <w:r w:rsidRPr="2480EF30">
        <w:rPr>
          <w:sz w:val="18"/>
          <w:szCs w:val="18"/>
        </w:rPr>
        <w:t xml:space="preserve">, </w:t>
      </w:r>
      <w:r w:rsidRPr="2480EF30">
        <w:rPr>
          <w:i/>
          <w:iCs/>
          <w:sz w:val="18"/>
          <w:szCs w:val="18"/>
        </w:rPr>
        <w:t>6</w:t>
      </w:r>
      <w:r w:rsidRPr="2480EF30">
        <w:rPr>
          <w:sz w:val="18"/>
          <w:szCs w:val="18"/>
        </w:rPr>
        <w:t>(4), e239050-e239050.</w:t>
      </w:r>
    </w:p>
    <w:p w14:paraId="48549E74" w14:textId="768FC264" w:rsidR="2480EF30" w:rsidRDefault="2480EF30" w:rsidP="2480EF30">
      <w:pPr>
        <w:ind w:left="720" w:right="-20" w:hanging="720"/>
      </w:pPr>
      <w:r w:rsidRPr="2480EF30">
        <w:rPr>
          <w:sz w:val="18"/>
          <w:szCs w:val="18"/>
        </w:rPr>
        <w:t xml:space="preserve">Muñoz, F. M., Sher, L. D., Sabharwal, C., </w:t>
      </w:r>
      <w:proofErr w:type="spellStart"/>
      <w:r w:rsidRPr="2480EF30">
        <w:rPr>
          <w:sz w:val="18"/>
          <w:szCs w:val="18"/>
        </w:rPr>
        <w:t>Gurtman</w:t>
      </w:r>
      <w:proofErr w:type="spellEnd"/>
      <w:r w:rsidRPr="2480EF30">
        <w:rPr>
          <w:sz w:val="18"/>
          <w:szCs w:val="18"/>
        </w:rPr>
        <w:t xml:space="preserve">, A., Xu, X., Kitchin, N., ... &amp; Gruber, W. C. (2023). Evaluation of BNT162b2 </w:t>
      </w:r>
      <w:r w:rsidR="00F033FE">
        <w:rPr>
          <w:sz w:val="18"/>
          <w:szCs w:val="18"/>
        </w:rPr>
        <w:t xml:space="preserve">Covid-19 </w:t>
      </w:r>
      <w:r w:rsidRPr="2480EF30">
        <w:rPr>
          <w:sz w:val="18"/>
          <w:szCs w:val="18"/>
        </w:rPr>
        <w:t xml:space="preserve">vaccine in children younger than 5 years of age. </w:t>
      </w:r>
      <w:r w:rsidRPr="2480EF30">
        <w:rPr>
          <w:i/>
          <w:iCs/>
          <w:sz w:val="18"/>
          <w:szCs w:val="18"/>
        </w:rPr>
        <w:t>New England Journal of Medicine</w:t>
      </w:r>
      <w:r w:rsidRPr="2480EF30">
        <w:rPr>
          <w:sz w:val="18"/>
          <w:szCs w:val="18"/>
        </w:rPr>
        <w:t xml:space="preserve">, </w:t>
      </w:r>
      <w:r w:rsidRPr="2480EF30">
        <w:rPr>
          <w:i/>
          <w:iCs/>
          <w:sz w:val="18"/>
          <w:szCs w:val="18"/>
        </w:rPr>
        <w:t>388</w:t>
      </w:r>
      <w:r w:rsidRPr="2480EF30">
        <w:rPr>
          <w:sz w:val="18"/>
          <w:szCs w:val="18"/>
        </w:rPr>
        <w:t>(7), 621-634.</w:t>
      </w:r>
    </w:p>
    <w:p w14:paraId="0C6628B0" w14:textId="1705980A" w:rsidR="2480EF30" w:rsidRDefault="2480EF30" w:rsidP="2480EF30">
      <w:pPr>
        <w:ind w:left="720" w:right="-20" w:hanging="720"/>
      </w:pPr>
      <w:r w:rsidRPr="2480EF30">
        <w:rPr>
          <w:sz w:val="18"/>
          <w:szCs w:val="18"/>
        </w:rPr>
        <w:t xml:space="preserve">Nadeem, I., </w:t>
      </w:r>
      <w:proofErr w:type="spellStart"/>
      <w:r w:rsidRPr="2480EF30">
        <w:rPr>
          <w:sz w:val="18"/>
          <w:szCs w:val="18"/>
        </w:rPr>
        <w:t>Ul</w:t>
      </w:r>
      <w:proofErr w:type="spellEnd"/>
      <w:r w:rsidRPr="2480EF30">
        <w:rPr>
          <w:sz w:val="18"/>
          <w:szCs w:val="18"/>
        </w:rPr>
        <w:t xml:space="preserve"> </w:t>
      </w:r>
      <w:proofErr w:type="spellStart"/>
      <w:r w:rsidRPr="2480EF30">
        <w:rPr>
          <w:sz w:val="18"/>
          <w:szCs w:val="18"/>
        </w:rPr>
        <w:t>Munamm</w:t>
      </w:r>
      <w:proofErr w:type="spellEnd"/>
      <w:r w:rsidRPr="2480EF30">
        <w:rPr>
          <w:sz w:val="18"/>
          <w:szCs w:val="18"/>
        </w:rPr>
        <w:t xml:space="preserve">, S. A., Ur Rasool, M., Fatimah, M., Abu Bakar, M., Rana, Z. K., ... &amp; McLoughlin, H. (2023). Safety and efficacy of Sinopharm vaccine (BBIBP-CorV) in elderly population of Faisalabad district of Pakistan. </w:t>
      </w:r>
      <w:r w:rsidRPr="2480EF30">
        <w:rPr>
          <w:i/>
          <w:iCs/>
          <w:sz w:val="18"/>
          <w:szCs w:val="18"/>
        </w:rPr>
        <w:t>Postgraduate medical journal</w:t>
      </w:r>
      <w:r w:rsidRPr="2480EF30">
        <w:rPr>
          <w:sz w:val="18"/>
          <w:szCs w:val="18"/>
        </w:rPr>
        <w:t xml:space="preserve">, </w:t>
      </w:r>
      <w:r w:rsidRPr="2480EF30">
        <w:rPr>
          <w:i/>
          <w:iCs/>
          <w:sz w:val="18"/>
          <w:szCs w:val="18"/>
        </w:rPr>
        <w:t>99</w:t>
      </w:r>
      <w:r w:rsidRPr="2480EF30">
        <w:rPr>
          <w:sz w:val="18"/>
          <w:szCs w:val="18"/>
        </w:rPr>
        <w:t>(1171), 463-469.</w:t>
      </w:r>
    </w:p>
    <w:p w14:paraId="430AD2F2" w14:textId="1271154B" w:rsidR="2480EF30" w:rsidRDefault="2480EF30" w:rsidP="2480EF30">
      <w:pPr>
        <w:ind w:left="720" w:right="-20" w:hanging="720"/>
      </w:pPr>
      <w:r w:rsidRPr="2480EF30">
        <w:rPr>
          <w:sz w:val="18"/>
          <w:szCs w:val="18"/>
        </w:rPr>
        <w:t xml:space="preserve">Nordström, P., Ballin, M., &amp; Nordström, A. (2022). Risk of infection, hospitalisation, and death up to 9 months after a second dose of </w:t>
      </w:r>
      <w:r w:rsidR="00F033FE">
        <w:rPr>
          <w:sz w:val="18"/>
          <w:szCs w:val="18"/>
        </w:rPr>
        <w:t xml:space="preserve">COVID-19 </w:t>
      </w:r>
      <w:r w:rsidRPr="2480EF30">
        <w:rPr>
          <w:sz w:val="18"/>
          <w:szCs w:val="18"/>
        </w:rPr>
        <w:t xml:space="preserve">vaccine: a retrospective, total population cohort study in Sweden. </w:t>
      </w:r>
      <w:r w:rsidRPr="2480EF30">
        <w:rPr>
          <w:i/>
          <w:iCs/>
          <w:sz w:val="18"/>
          <w:szCs w:val="18"/>
        </w:rPr>
        <w:t>The Lancet</w:t>
      </w:r>
      <w:r w:rsidRPr="2480EF30">
        <w:rPr>
          <w:sz w:val="18"/>
          <w:szCs w:val="18"/>
        </w:rPr>
        <w:t xml:space="preserve">, </w:t>
      </w:r>
      <w:r w:rsidRPr="2480EF30">
        <w:rPr>
          <w:i/>
          <w:iCs/>
          <w:sz w:val="18"/>
          <w:szCs w:val="18"/>
        </w:rPr>
        <w:t>399</w:t>
      </w:r>
      <w:r w:rsidRPr="2480EF30">
        <w:rPr>
          <w:sz w:val="18"/>
          <w:szCs w:val="18"/>
        </w:rPr>
        <w:t>(10327), 814-823.</w:t>
      </w:r>
    </w:p>
    <w:p w14:paraId="24FC7A19" w14:textId="26432FA9" w:rsidR="2480EF30" w:rsidRDefault="2480EF30" w:rsidP="2480EF30">
      <w:pPr>
        <w:ind w:left="720" w:right="-20" w:hanging="720"/>
      </w:pPr>
      <w:r w:rsidRPr="2480EF30">
        <w:rPr>
          <w:sz w:val="18"/>
          <w:szCs w:val="18"/>
        </w:rPr>
        <w:t xml:space="preserve">NSW Health, (2021). Vaccination among </w:t>
      </w:r>
      <w:r w:rsidR="00F033FE">
        <w:rPr>
          <w:sz w:val="18"/>
          <w:szCs w:val="18"/>
        </w:rPr>
        <w:t xml:space="preserve">Covid-19 </w:t>
      </w:r>
      <w:r w:rsidRPr="2480EF30">
        <w:rPr>
          <w:sz w:val="18"/>
          <w:szCs w:val="18"/>
        </w:rPr>
        <w:t xml:space="preserve">cases in the NSW Delta outbreak. Reporting period: 16 June to 7 October 2021. Last accessed: February 5, 2024. Sourced from: </w:t>
      </w:r>
      <w:hyperlink r:id="rId15">
        <w:r w:rsidRPr="2480EF30">
          <w:rPr>
            <w:rStyle w:val="Hyperlink"/>
            <w:color w:val="0563C1"/>
            <w:sz w:val="18"/>
            <w:szCs w:val="18"/>
          </w:rPr>
          <w:t>https://www.health.nsw.gov.au/Infectious/covid-19/Documents/in-focus/covid-19-vaccination-case-surveillance-051121.pdf</w:t>
        </w:r>
      </w:hyperlink>
    </w:p>
    <w:p w14:paraId="43D60447" w14:textId="55AB0B46" w:rsidR="2480EF30" w:rsidRDefault="2480EF30" w:rsidP="2480EF30">
      <w:pPr>
        <w:ind w:left="720" w:right="-20" w:hanging="720"/>
      </w:pPr>
      <w:r w:rsidRPr="2480EF30">
        <w:rPr>
          <w:sz w:val="18"/>
          <w:szCs w:val="18"/>
        </w:rPr>
        <w:t xml:space="preserve">Pálinkás, A., &amp; Sándor, J. (2022). Effectiveness of </w:t>
      </w:r>
      <w:r w:rsidR="00F033FE">
        <w:rPr>
          <w:sz w:val="18"/>
          <w:szCs w:val="18"/>
        </w:rPr>
        <w:t xml:space="preserve">COVID-19 </w:t>
      </w:r>
      <w:r w:rsidRPr="2480EF30">
        <w:rPr>
          <w:sz w:val="18"/>
          <w:szCs w:val="18"/>
        </w:rPr>
        <w:t xml:space="preserve">vaccination in preventing all-cause mortality among adults during the third wave of the epidemic in </w:t>
      </w:r>
      <w:proofErr w:type="spellStart"/>
      <w:r w:rsidRPr="2480EF30">
        <w:rPr>
          <w:sz w:val="18"/>
          <w:szCs w:val="18"/>
        </w:rPr>
        <w:t>hungary</w:t>
      </w:r>
      <w:proofErr w:type="spellEnd"/>
      <w:r w:rsidRPr="2480EF30">
        <w:rPr>
          <w:sz w:val="18"/>
          <w:szCs w:val="18"/>
        </w:rPr>
        <w:t xml:space="preserve">: nationwide retrospective cohort study. </w:t>
      </w:r>
      <w:r w:rsidRPr="2480EF30">
        <w:rPr>
          <w:i/>
          <w:iCs/>
          <w:sz w:val="18"/>
          <w:szCs w:val="18"/>
        </w:rPr>
        <w:t>Vaccines</w:t>
      </w:r>
      <w:r w:rsidRPr="2480EF30">
        <w:rPr>
          <w:sz w:val="18"/>
          <w:szCs w:val="18"/>
        </w:rPr>
        <w:t xml:space="preserve">, </w:t>
      </w:r>
      <w:r w:rsidRPr="2480EF30">
        <w:rPr>
          <w:i/>
          <w:iCs/>
          <w:sz w:val="18"/>
          <w:szCs w:val="18"/>
        </w:rPr>
        <w:t>10</w:t>
      </w:r>
      <w:r w:rsidRPr="2480EF30">
        <w:rPr>
          <w:sz w:val="18"/>
          <w:szCs w:val="18"/>
        </w:rPr>
        <w:t>(7), 1009.</w:t>
      </w:r>
    </w:p>
    <w:p w14:paraId="3B40B259" w14:textId="2964E10D" w:rsidR="2480EF30" w:rsidRDefault="2480EF30" w:rsidP="2480EF30">
      <w:pPr>
        <w:ind w:left="720" w:right="-20" w:hanging="720"/>
      </w:pPr>
      <w:r w:rsidRPr="2480EF30">
        <w:rPr>
          <w:sz w:val="18"/>
          <w:szCs w:val="18"/>
        </w:rPr>
        <w:t xml:space="preserve">Paternina-Caicedo, A., Jit, M., Alvis-Guzman, N., Fernandez, J. C., Hernandez, J., Paz-Wilches, J. J., ... &amp; De La Hoz-Restrepo, F. (2022). Effectiveness of CoronaVac and BNT162b2 </w:t>
      </w:r>
      <w:r w:rsidR="00F033FE">
        <w:rPr>
          <w:sz w:val="18"/>
          <w:szCs w:val="18"/>
        </w:rPr>
        <w:t xml:space="preserve">COVID-19 </w:t>
      </w:r>
      <w:r w:rsidRPr="2480EF30">
        <w:rPr>
          <w:sz w:val="18"/>
          <w:szCs w:val="18"/>
        </w:rPr>
        <w:t xml:space="preserve">mass vaccination in Colombia: A population-based cohort study. </w:t>
      </w:r>
      <w:r w:rsidRPr="2480EF30">
        <w:rPr>
          <w:i/>
          <w:iCs/>
          <w:sz w:val="18"/>
          <w:szCs w:val="18"/>
        </w:rPr>
        <w:t>The Lancet Regional Health–Americas</w:t>
      </w:r>
      <w:r w:rsidRPr="2480EF30">
        <w:rPr>
          <w:sz w:val="18"/>
          <w:szCs w:val="18"/>
        </w:rPr>
        <w:t xml:space="preserve">, </w:t>
      </w:r>
      <w:r w:rsidRPr="2480EF30">
        <w:rPr>
          <w:i/>
          <w:iCs/>
          <w:sz w:val="18"/>
          <w:szCs w:val="18"/>
        </w:rPr>
        <w:t>12</w:t>
      </w:r>
      <w:r w:rsidRPr="2480EF30">
        <w:rPr>
          <w:sz w:val="18"/>
          <w:szCs w:val="18"/>
        </w:rPr>
        <w:t>.</w:t>
      </w:r>
    </w:p>
    <w:p w14:paraId="3BBD060C" w14:textId="76DD9BDE" w:rsidR="2480EF30" w:rsidRDefault="2480EF30" w:rsidP="2480EF30">
      <w:pPr>
        <w:ind w:left="720" w:right="-20" w:hanging="720"/>
      </w:pPr>
      <w:r w:rsidRPr="2480EF30">
        <w:rPr>
          <w:sz w:val="18"/>
          <w:szCs w:val="18"/>
        </w:rPr>
        <w:t xml:space="preserve">Petráš, M., </w:t>
      </w:r>
      <w:proofErr w:type="spellStart"/>
      <w:r w:rsidRPr="2480EF30">
        <w:rPr>
          <w:sz w:val="18"/>
          <w:szCs w:val="18"/>
        </w:rPr>
        <w:t>Lesná</w:t>
      </w:r>
      <w:proofErr w:type="spellEnd"/>
      <w:r w:rsidRPr="2480EF30">
        <w:rPr>
          <w:sz w:val="18"/>
          <w:szCs w:val="18"/>
        </w:rPr>
        <w:t xml:space="preserve">, I. K., Večeřová, L., </w:t>
      </w:r>
      <w:proofErr w:type="spellStart"/>
      <w:r w:rsidRPr="2480EF30">
        <w:rPr>
          <w:sz w:val="18"/>
          <w:szCs w:val="18"/>
        </w:rPr>
        <w:t>Nyčová</w:t>
      </w:r>
      <w:proofErr w:type="spellEnd"/>
      <w:r w:rsidRPr="2480EF30">
        <w:rPr>
          <w:sz w:val="18"/>
          <w:szCs w:val="18"/>
        </w:rPr>
        <w:t xml:space="preserve">, E., Malinová, J., </w:t>
      </w:r>
      <w:proofErr w:type="spellStart"/>
      <w:r w:rsidRPr="2480EF30">
        <w:rPr>
          <w:sz w:val="18"/>
          <w:szCs w:val="18"/>
        </w:rPr>
        <w:t>Klézl</w:t>
      </w:r>
      <w:proofErr w:type="spellEnd"/>
      <w:r w:rsidRPr="2480EF30">
        <w:rPr>
          <w:sz w:val="18"/>
          <w:szCs w:val="18"/>
        </w:rPr>
        <w:t xml:space="preserve">, P., ... &amp; Adámková, V. (2021). The effectiveness of post-vaccination and post-infection protection in the hospital staff of three Prague hospitals: a cohort study of 8-month follow-up from the start of the </w:t>
      </w:r>
      <w:r w:rsidR="00F033FE">
        <w:rPr>
          <w:sz w:val="18"/>
          <w:szCs w:val="18"/>
        </w:rPr>
        <w:t xml:space="preserve">COVID-19 </w:t>
      </w:r>
      <w:r w:rsidRPr="2480EF30">
        <w:rPr>
          <w:sz w:val="18"/>
          <w:szCs w:val="18"/>
        </w:rPr>
        <w:t xml:space="preserve">Vaccination Campaign (COVANESS). </w:t>
      </w:r>
      <w:r w:rsidRPr="2480EF30">
        <w:rPr>
          <w:i/>
          <w:iCs/>
          <w:sz w:val="18"/>
          <w:szCs w:val="18"/>
        </w:rPr>
        <w:t>Vaccines</w:t>
      </w:r>
      <w:r w:rsidRPr="2480EF30">
        <w:rPr>
          <w:sz w:val="18"/>
          <w:szCs w:val="18"/>
        </w:rPr>
        <w:t xml:space="preserve">, </w:t>
      </w:r>
      <w:r w:rsidRPr="2480EF30">
        <w:rPr>
          <w:i/>
          <w:iCs/>
          <w:sz w:val="18"/>
          <w:szCs w:val="18"/>
        </w:rPr>
        <w:t>10</w:t>
      </w:r>
      <w:r w:rsidRPr="2480EF30">
        <w:rPr>
          <w:sz w:val="18"/>
          <w:szCs w:val="18"/>
        </w:rPr>
        <w:t>(1), 9.</w:t>
      </w:r>
    </w:p>
    <w:p w14:paraId="27FC93E4" w14:textId="6B2BFED7" w:rsidR="2480EF30" w:rsidRDefault="2480EF30" w:rsidP="2480EF30">
      <w:pPr>
        <w:ind w:left="720" w:right="-20" w:hanging="720"/>
      </w:pPr>
      <w:proofErr w:type="spellStart"/>
      <w:r w:rsidRPr="2480EF30">
        <w:rPr>
          <w:sz w:val="18"/>
          <w:szCs w:val="18"/>
        </w:rPr>
        <w:t>Pilishvili</w:t>
      </w:r>
      <w:proofErr w:type="spellEnd"/>
      <w:r w:rsidRPr="2480EF30">
        <w:rPr>
          <w:sz w:val="18"/>
          <w:szCs w:val="18"/>
        </w:rPr>
        <w:t xml:space="preserve">, T., Gierke, R., Fleming-Dutra, K. E., Farrar, J. L., Mohr, N. M., Talan, D. A., ... &amp; Schrag, S. J. (2021). Effectiveness of mRNA </w:t>
      </w:r>
      <w:r w:rsidR="00F033FE">
        <w:rPr>
          <w:sz w:val="18"/>
          <w:szCs w:val="18"/>
        </w:rPr>
        <w:t xml:space="preserve">Covid-19 </w:t>
      </w:r>
      <w:r w:rsidRPr="2480EF30">
        <w:rPr>
          <w:sz w:val="18"/>
          <w:szCs w:val="18"/>
        </w:rPr>
        <w:t xml:space="preserve">vaccine among US health care personnel. </w:t>
      </w:r>
      <w:r w:rsidRPr="2480EF30">
        <w:rPr>
          <w:i/>
          <w:iCs/>
          <w:sz w:val="18"/>
          <w:szCs w:val="18"/>
        </w:rPr>
        <w:t>New England Journal of Medicine</w:t>
      </w:r>
      <w:r w:rsidRPr="2480EF30">
        <w:rPr>
          <w:sz w:val="18"/>
          <w:szCs w:val="18"/>
        </w:rPr>
        <w:t xml:space="preserve">, </w:t>
      </w:r>
      <w:r w:rsidRPr="2480EF30">
        <w:rPr>
          <w:i/>
          <w:iCs/>
          <w:sz w:val="18"/>
          <w:szCs w:val="18"/>
        </w:rPr>
        <w:t>385</w:t>
      </w:r>
      <w:r w:rsidRPr="2480EF30">
        <w:rPr>
          <w:sz w:val="18"/>
          <w:szCs w:val="18"/>
        </w:rPr>
        <w:t>(25), e90.</w:t>
      </w:r>
    </w:p>
    <w:p w14:paraId="7436D105" w14:textId="501AAEB9" w:rsidR="2480EF30" w:rsidRDefault="2480EF30" w:rsidP="2480EF30">
      <w:pPr>
        <w:ind w:left="720" w:right="-20" w:hanging="720"/>
      </w:pPr>
      <w:r w:rsidRPr="2480EF30">
        <w:rPr>
          <w:sz w:val="18"/>
          <w:szCs w:val="18"/>
        </w:rPr>
        <w:t xml:space="preserve">Polack, F. P., Thomas, S. J., Kitchin, N., Absalon, J., </w:t>
      </w:r>
      <w:proofErr w:type="spellStart"/>
      <w:r w:rsidRPr="2480EF30">
        <w:rPr>
          <w:sz w:val="18"/>
          <w:szCs w:val="18"/>
        </w:rPr>
        <w:t>Gurtman</w:t>
      </w:r>
      <w:proofErr w:type="spellEnd"/>
      <w:r w:rsidRPr="2480EF30">
        <w:rPr>
          <w:sz w:val="18"/>
          <w:szCs w:val="18"/>
        </w:rPr>
        <w:t xml:space="preserve">, A., Lockhart, S., ... &amp; Gruber, W. C. (2020). Safety and efficacy of the BNT162b2 mRNA </w:t>
      </w:r>
      <w:r w:rsidR="00F033FE">
        <w:rPr>
          <w:sz w:val="18"/>
          <w:szCs w:val="18"/>
        </w:rPr>
        <w:t xml:space="preserve">Covid-19 </w:t>
      </w:r>
      <w:r w:rsidRPr="2480EF30">
        <w:rPr>
          <w:sz w:val="18"/>
          <w:szCs w:val="18"/>
        </w:rPr>
        <w:t xml:space="preserve">vaccine. </w:t>
      </w:r>
      <w:r w:rsidRPr="2480EF30">
        <w:rPr>
          <w:i/>
          <w:iCs/>
          <w:sz w:val="18"/>
          <w:szCs w:val="18"/>
        </w:rPr>
        <w:t>New England journal of medicine</w:t>
      </w:r>
      <w:r w:rsidRPr="2480EF30">
        <w:rPr>
          <w:sz w:val="18"/>
          <w:szCs w:val="18"/>
        </w:rPr>
        <w:t xml:space="preserve">, </w:t>
      </w:r>
      <w:r w:rsidRPr="2480EF30">
        <w:rPr>
          <w:i/>
          <w:iCs/>
          <w:sz w:val="18"/>
          <w:szCs w:val="18"/>
        </w:rPr>
        <w:t>383</w:t>
      </w:r>
      <w:r w:rsidRPr="2480EF30">
        <w:rPr>
          <w:sz w:val="18"/>
          <w:szCs w:val="18"/>
        </w:rPr>
        <w:t>(27), 2603-2615.</w:t>
      </w:r>
    </w:p>
    <w:p w14:paraId="17AAB2CB" w14:textId="62FA4C87" w:rsidR="003607FD" w:rsidRDefault="003607FD" w:rsidP="2480EF30">
      <w:pPr>
        <w:ind w:left="720" w:right="-20" w:hanging="720"/>
        <w:rPr>
          <w:sz w:val="18"/>
          <w:szCs w:val="18"/>
        </w:rPr>
      </w:pPr>
      <w:r>
        <w:rPr>
          <w:sz w:val="18"/>
          <w:szCs w:val="18"/>
        </w:rPr>
        <w:t xml:space="preserve">Reeder, M. </w:t>
      </w:r>
      <w:r w:rsidR="00D37A4B">
        <w:rPr>
          <w:sz w:val="18"/>
          <w:szCs w:val="18"/>
        </w:rPr>
        <w:t xml:space="preserve">(2021) </w:t>
      </w:r>
      <w:r w:rsidR="00D37A4B" w:rsidRPr="00D37A4B">
        <w:rPr>
          <w:sz w:val="18"/>
          <w:szCs w:val="18"/>
        </w:rPr>
        <w:t>Use of a null assumption to re-</w:t>
      </w:r>
      <w:proofErr w:type="spellStart"/>
      <w:r w:rsidR="00D37A4B" w:rsidRPr="00D37A4B">
        <w:rPr>
          <w:sz w:val="18"/>
          <w:szCs w:val="18"/>
        </w:rPr>
        <w:t>analyze</w:t>
      </w:r>
      <w:proofErr w:type="spellEnd"/>
      <w:r w:rsidR="00D37A4B" w:rsidRPr="00D37A4B">
        <w:rPr>
          <w:sz w:val="18"/>
          <w:szCs w:val="18"/>
        </w:rPr>
        <w:t xml:space="preserve"> data collected through a rolling cohort subject to selection bias due to informative censoring</w:t>
      </w:r>
      <w:r w:rsidR="00D37A4B">
        <w:rPr>
          <w:sz w:val="18"/>
          <w:szCs w:val="18"/>
        </w:rPr>
        <w:t xml:space="preserve">. Unpublished manuscript.  </w:t>
      </w:r>
      <w:r w:rsidRPr="003607FD">
        <w:rPr>
          <w:sz w:val="18"/>
          <w:szCs w:val="18"/>
        </w:rPr>
        <w:t>https://zenodo.org/records/5243901</w:t>
      </w:r>
    </w:p>
    <w:p w14:paraId="3469C0DD" w14:textId="68993C6F" w:rsidR="2480EF30" w:rsidRDefault="3187830C" w:rsidP="2480EF30">
      <w:pPr>
        <w:ind w:left="720" w:right="-20" w:hanging="720"/>
      </w:pPr>
      <w:r w:rsidRPr="3187830C">
        <w:rPr>
          <w:sz w:val="18"/>
          <w:szCs w:val="18"/>
        </w:rPr>
        <w:t>Robles-</w:t>
      </w:r>
      <w:proofErr w:type="spellStart"/>
      <w:r w:rsidRPr="3187830C">
        <w:rPr>
          <w:sz w:val="18"/>
          <w:szCs w:val="18"/>
        </w:rPr>
        <w:t>Fontán</w:t>
      </w:r>
      <w:proofErr w:type="spellEnd"/>
      <w:r w:rsidRPr="3187830C">
        <w:rPr>
          <w:sz w:val="18"/>
          <w:szCs w:val="18"/>
        </w:rPr>
        <w:t xml:space="preserve">, M. M., Nieves, E. G., Cardona-Gerena, I., &amp; Irizarry, R. A. (2022). Effectiveness estimates of three </w:t>
      </w:r>
      <w:r w:rsidR="00F033FE">
        <w:rPr>
          <w:sz w:val="18"/>
          <w:szCs w:val="18"/>
        </w:rPr>
        <w:t xml:space="preserve">COVID-19 </w:t>
      </w:r>
      <w:r w:rsidRPr="3187830C">
        <w:rPr>
          <w:sz w:val="18"/>
          <w:szCs w:val="18"/>
        </w:rPr>
        <w:t xml:space="preserve">vaccines based on observational data from Puerto Rico. </w:t>
      </w:r>
      <w:r w:rsidRPr="3187830C">
        <w:rPr>
          <w:i/>
          <w:iCs/>
          <w:sz w:val="18"/>
          <w:szCs w:val="18"/>
        </w:rPr>
        <w:t>The Lancet Regional Health–Americas</w:t>
      </w:r>
      <w:r w:rsidRPr="3187830C">
        <w:rPr>
          <w:sz w:val="18"/>
          <w:szCs w:val="18"/>
        </w:rPr>
        <w:t xml:space="preserve">, </w:t>
      </w:r>
      <w:r w:rsidRPr="3187830C">
        <w:rPr>
          <w:i/>
          <w:iCs/>
          <w:sz w:val="18"/>
          <w:szCs w:val="18"/>
        </w:rPr>
        <w:t>9</w:t>
      </w:r>
      <w:r w:rsidRPr="3187830C">
        <w:rPr>
          <w:sz w:val="18"/>
          <w:szCs w:val="18"/>
        </w:rPr>
        <w:t>.</w:t>
      </w:r>
    </w:p>
    <w:p w14:paraId="6ABCD1B1" w14:textId="5DBB832D" w:rsidR="2480EF30" w:rsidRDefault="3187830C" w:rsidP="2480EF30">
      <w:pPr>
        <w:ind w:left="720" w:right="-20" w:hanging="720"/>
      </w:pPr>
      <w:r w:rsidRPr="3187830C">
        <w:rPr>
          <w:sz w:val="18"/>
          <w:szCs w:val="18"/>
        </w:rPr>
        <w:t xml:space="preserve">Rosenberg, E. S., </w:t>
      </w:r>
      <w:proofErr w:type="spellStart"/>
      <w:r w:rsidRPr="3187830C">
        <w:rPr>
          <w:sz w:val="18"/>
          <w:szCs w:val="18"/>
        </w:rPr>
        <w:t>Dorabawila</w:t>
      </w:r>
      <w:proofErr w:type="spellEnd"/>
      <w:r w:rsidRPr="3187830C">
        <w:rPr>
          <w:sz w:val="18"/>
          <w:szCs w:val="18"/>
        </w:rPr>
        <w:t xml:space="preserve">, V., Easton, D., Bauer, U. E., Kumar, J., Hoen, R., ... &amp; Zucker, H. A. (2022). </w:t>
      </w:r>
      <w:r w:rsidR="00F033FE">
        <w:rPr>
          <w:sz w:val="18"/>
          <w:szCs w:val="18"/>
        </w:rPr>
        <w:t xml:space="preserve">Covid-19 </w:t>
      </w:r>
      <w:r w:rsidRPr="3187830C">
        <w:rPr>
          <w:sz w:val="18"/>
          <w:szCs w:val="18"/>
        </w:rPr>
        <w:t xml:space="preserve">vaccine effectiveness in New York state. </w:t>
      </w:r>
      <w:r w:rsidRPr="3187830C">
        <w:rPr>
          <w:i/>
          <w:iCs/>
          <w:sz w:val="18"/>
          <w:szCs w:val="18"/>
        </w:rPr>
        <w:t>New England Journal of Medicine</w:t>
      </w:r>
      <w:r w:rsidRPr="3187830C">
        <w:rPr>
          <w:sz w:val="18"/>
          <w:szCs w:val="18"/>
        </w:rPr>
        <w:t xml:space="preserve">, </w:t>
      </w:r>
      <w:r w:rsidRPr="3187830C">
        <w:rPr>
          <w:i/>
          <w:iCs/>
          <w:sz w:val="18"/>
          <w:szCs w:val="18"/>
        </w:rPr>
        <w:t>386</w:t>
      </w:r>
      <w:r w:rsidRPr="3187830C">
        <w:rPr>
          <w:sz w:val="18"/>
          <w:szCs w:val="18"/>
        </w:rPr>
        <w:t>(2), 116-127.</w:t>
      </w:r>
    </w:p>
    <w:p w14:paraId="7D7F9FAD" w14:textId="1E6B3958" w:rsidR="2480EF30" w:rsidRDefault="2480EF30" w:rsidP="2480EF30">
      <w:pPr>
        <w:ind w:left="720" w:right="-20" w:hanging="720"/>
      </w:pPr>
      <w:r w:rsidRPr="2480EF30">
        <w:rPr>
          <w:sz w:val="18"/>
          <w:szCs w:val="18"/>
        </w:rPr>
        <w:t xml:space="preserve">Stock, S. J., Carruthers, J., Calvert, C., Denny, C., Donaghy, J., Goulding, A., ... &amp; Wood, R. (2022). SARS-CoV-2 infection and </w:t>
      </w:r>
      <w:r w:rsidR="00F033FE">
        <w:rPr>
          <w:sz w:val="18"/>
          <w:szCs w:val="18"/>
        </w:rPr>
        <w:t xml:space="preserve">COVID-19 </w:t>
      </w:r>
      <w:r w:rsidRPr="2480EF30">
        <w:rPr>
          <w:sz w:val="18"/>
          <w:szCs w:val="18"/>
        </w:rPr>
        <w:t xml:space="preserve">vaccination rates in pregnant women in Scotland. </w:t>
      </w:r>
      <w:r w:rsidRPr="2480EF30">
        <w:rPr>
          <w:i/>
          <w:iCs/>
          <w:sz w:val="18"/>
          <w:szCs w:val="18"/>
        </w:rPr>
        <w:t>Nature medicine</w:t>
      </w:r>
      <w:r w:rsidRPr="2480EF30">
        <w:rPr>
          <w:sz w:val="18"/>
          <w:szCs w:val="18"/>
        </w:rPr>
        <w:t xml:space="preserve">, </w:t>
      </w:r>
      <w:r w:rsidRPr="2480EF30">
        <w:rPr>
          <w:i/>
          <w:iCs/>
          <w:sz w:val="18"/>
          <w:szCs w:val="18"/>
        </w:rPr>
        <w:t>28</w:t>
      </w:r>
      <w:r w:rsidRPr="2480EF30">
        <w:rPr>
          <w:sz w:val="18"/>
          <w:szCs w:val="18"/>
        </w:rPr>
        <w:t>(3), 504-512.</w:t>
      </w:r>
    </w:p>
    <w:p w14:paraId="7EB9F371" w14:textId="4A251954" w:rsidR="2480EF30" w:rsidRDefault="2480EF30" w:rsidP="2480EF30">
      <w:pPr>
        <w:ind w:left="720" w:right="-20" w:hanging="720"/>
      </w:pPr>
      <w:proofErr w:type="spellStart"/>
      <w:r w:rsidRPr="2480EF30">
        <w:rPr>
          <w:sz w:val="18"/>
          <w:szCs w:val="18"/>
        </w:rPr>
        <w:t>Tabarsi</w:t>
      </w:r>
      <w:proofErr w:type="spellEnd"/>
      <w:r w:rsidRPr="2480EF30">
        <w:rPr>
          <w:sz w:val="18"/>
          <w:szCs w:val="18"/>
        </w:rPr>
        <w:t xml:space="preserve">, P., </w:t>
      </w:r>
      <w:proofErr w:type="spellStart"/>
      <w:r w:rsidRPr="2480EF30">
        <w:rPr>
          <w:sz w:val="18"/>
          <w:szCs w:val="18"/>
        </w:rPr>
        <w:t>Anjidani</w:t>
      </w:r>
      <w:proofErr w:type="spellEnd"/>
      <w:r w:rsidRPr="2480EF30">
        <w:rPr>
          <w:sz w:val="18"/>
          <w:szCs w:val="18"/>
        </w:rPr>
        <w:t xml:space="preserve">, N., </w:t>
      </w:r>
      <w:proofErr w:type="spellStart"/>
      <w:r w:rsidRPr="2480EF30">
        <w:rPr>
          <w:sz w:val="18"/>
          <w:szCs w:val="18"/>
        </w:rPr>
        <w:t>Shahpari</w:t>
      </w:r>
      <w:proofErr w:type="spellEnd"/>
      <w:r w:rsidRPr="2480EF30">
        <w:rPr>
          <w:sz w:val="18"/>
          <w:szCs w:val="18"/>
        </w:rPr>
        <w:t xml:space="preserve">, R., Mardani, M., </w:t>
      </w:r>
      <w:proofErr w:type="spellStart"/>
      <w:r w:rsidRPr="2480EF30">
        <w:rPr>
          <w:sz w:val="18"/>
          <w:szCs w:val="18"/>
        </w:rPr>
        <w:t>Sabzvari</w:t>
      </w:r>
      <w:proofErr w:type="spellEnd"/>
      <w:r w:rsidRPr="2480EF30">
        <w:rPr>
          <w:sz w:val="18"/>
          <w:szCs w:val="18"/>
        </w:rPr>
        <w:t xml:space="preserve">, A., Yazdani, B., ... &amp; Barati, S. (2023). Evaluating the efficacy and safety of </w:t>
      </w:r>
      <w:proofErr w:type="spellStart"/>
      <w:r w:rsidRPr="2480EF30">
        <w:rPr>
          <w:sz w:val="18"/>
          <w:szCs w:val="18"/>
        </w:rPr>
        <w:t>SpikoGen</w:t>
      </w:r>
      <w:proofErr w:type="spellEnd"/>
      <w:r w:rsidRPr="2480EF30">
        <w:rPr>
          <w:sz w:val="18"/>
          <w:szCs w:val="18"/>
        </w:rPr>
        <w:t xml:space="preserve">®, an Advax-CpG55. 2–adjuvanted severe acute respiratory syndrome coronavirus 2 spike protein vaccine: a phase 3 randomized placebo-controlled trial. </w:t>
      </w:r>
      <w:r w:rsidRPr="2480EF30">
        <w:rPr>
          <w:i/>
          <w:iCs/>
          <w:sz w:val="18"/>
          <w:szCs w:val="18"/>
        </w:rPr>
        <w:t>Clinical Microbiology and Infection</w:t>
      </w:r>
      <w:r w:rsidRPr="2480EF30">
        <w:rPr>
          <w:sz w:val="18"/>
          <w:szCs w:val="18"/>
        </w:rPr>
        <w:t xml:space="preserve">, </w:t>
      </w:r>
      <w:r w:rsidRPr="2480EF30">
        <w:rPr>
          <w:i/>
          <w:iCs/>
          <w:sz w:val="18"/>
          <w:szCs w:val="18"/>
        </w:rPr>
        <w:t>29</w:t>
      </w:r>
      <w:r w:rsidRPr="2480EF30">
        <w:rPr>
          <w:sz w:val="18"/>
          <w:szCs w:val="18"/>
        </w:rPr>
        <w:t>(2), 215-220.</w:t>
      </w:r>
    </w:p>
    <w:p w14:paraId="27D1A416" w14:textId="615EB256" w:rsidR="2480EF30" w:rsidRDefault="2480EF30" w:rsidP="2480EF30">
      <w:pPr>
        <w:ind w:left="720" w:right="-20" w:hanging="720"/>
      </w:pPr>
      <w:r w:rsidRPr="2480EF30">
        <w:rPr>
          <w:sz w:val="18"/>
          <w:szCs w:val="18"/>
        </w:rPr>
        <w:t xml:space="preserve">Tan, W. C., Tan, J. Y. J., Lim, J. S. J., Tan, R. Y. C., Lee, A. R. Y. B., Leong, F. L., ... &amp; Tan, K. B. (2023). </w:t>
      </w:r>
      <w:r w:rsidR="00F033FE">
        <w:rPr>
          <w:sz w:val="18"/>
          <w:szCs w:val="18"/>
        </w:rPr>
        <w:t xml:space="preserve">COVID-19 </w:t>
      </w:r>
      <w:r w:rsidRPr="2480EF30">
        <w:rPr>
          <w:sz w:val="18"/>
          <w:szCs w:val="18"/>
        </w:rPr>
        <w:t xml:space="preserve">Severity and Waning Immunity After up to 4 mRNA Vaccine Doses in 73 608 Patients With Cancer and 621 475 Matched Controls in Singapore: A Nationwide Cohort Study. </w:t>
      </w:r>
      <w:r w:rsidRPr="2480EF30">
        <w:rPr>
          <w:i/>
          <w:iCs/>
          <w:sz w:val="18"/>
          <w:szCs w:val="18"/>
        </w:rPr>
        <w:t>JAMA oncology</w:t>
      </w:r>
      <w:r w:rsidRPr="2480EF30">
        <w:rPr>
          <w:sz w:val="18"/>
          <w:szCs w:val="18"/>
        </w:rPr>
        <w:t xml:space="preserve">, </w:t>
      </w:r>
      <w:r w:rsidRPr="2480EF30">
        <w:rPr>
          <w:i/>
          <w:iCs/>
          <w:sz w:val="18"/>
          <w:szCs w:val="18"/>
        </w:rPr>
        <w:t>9</w:t>
      </w:r>
      <w:r w:rsidRPr="2480EF30">
        <w:rPr>
          <w:sz w:val="18"/>
          <w:szCs w:val="18"/>
        </w:rPr>
        <w:t>(9), 1221-1229.</w:t>
      </w:r>
    </w:p>
    <w:p w14:paraId="64EF6968" w14:textId="74F2ABFB" w:rsidR="2480EF30" w:rsidRDefault="2480EF30" w:rsidP="2480EF30">
      <w:pPr>
        <w:ind w:left="720" w:right="-20" w:hanging="720"/>
      </w:pPr>
      <w:r w:rsidRPr="2480EF30">
        <w:rPr>
          <w:sz w:val="18"/>
          <w:szCs w:val="18"/>
        </w:rPr>
        <w:t xml:space="preserve">Thomas SJ, Kitchin N, et al. (2021) Safety and Efficacy of the BNT162b2 mRNA 404. </w:t>
      </w:r>
      <w:r w:rsidR="00F033FE">
        <w:rPr>
          <w:sz w:val="18"/>
          <w:szCs w:val="18"/>
        </w:rPr>
        <w:t xml:space="preserve">Covid-19 </w:t>
      </w:r>
      <w:r w:rsidRPr="2480EF30">
        <w:rPr>
          <w:sz w:val="18"/>
          <w:szCs w:val="18"/>
        </w:rPr>
        <w:t xml:space="preserve">Vaccine. </w:t>
      </w:r>
      <w:r w:rsidRPr="2480EF30">
        <w:rPr>
          <w:i/>
          <w:iCs/>
          <w:sz w:val="18"/>
          <w:szCs w:val="18"/>
        </w:rPr>
        <w:t>N Engl J Med.</w:t>
      </w:r>
      <w:r w:rsidRPr="2480EF30">
        <w:rPr>
          <w:sz w:val="18"/>
          <w:szCs w:val="18"/>
        </w:rPr>
        <w:t xml:space="preserve"> 383(27):2603-2615. 405</w:t>
      </w:r>
    </w:p>
    <w:p w14:paraId="375FEF3F" w14:textId="57A0F57E" w:rsidR="2480EF30" w:rsidRDefault="2480EF30" w:rsidP="2480EF30">
      <w:pPr>
        <w:ind w:left="720" w:right="-20" w:hanging="720"/>
      </w:pPr>
      <w:r w:rsidRPr="2480EF30">
        <w:rPr>
          <w:sz w:val="18"/>
          <w:szCs w:val="18"/>
        </w:rPr>
        <w:t xml:space="preserve">Wu, Q., Tong, J., Zhang, B., Zhang, D., Chen, J., Lei, Y., ... &amp; Chen, Y. (2024). Real-World Effectiveness of BNT162b2 Against Infection and Severe Diseases in Children and Adolescents. </w:t>
      </w:r>
      <w:r w:rsidRPr="2480EF30">
        <w:rPr>
          <w:i/>
          <w:iCs/>
          <w:sz w:val="18"/>
          <w:szCs w:val="18"/>
        </w:rPr>
        <w:t>Annals of Internal Medicine</w:t>
      </w:r>
      <w:r w:rsidRPr="2480EF30">
        <w:rPr>
          <w:sz w:val="18"/>
          <w:szCs w:val="18"/>
        </w:rPr>
        <w:t>.</w:t>
      </w:r>
    </w:p>
    <w:p w14:paraId="35E19E74" w14:textId="0ED63C40" w:rsidR="2480EF30" w:rsidRDefault="2480EF30" w:rsidP="2480EF30">
      <w:pPr>
        <w:ind w:left="720" w:right="-20" w:hanging="720"/>
      </w:pPr>
      <w:r w:rsidRPr="2480EF30">
        <w:rPr>
          <w:sz w:val="18"/>
          <w:szCs w:val="18"/>
        </w:rPr>
        <w:t xml:space="preserve">Yau, J. W. K., Lee, M. Y. K., Lim, E. Q. Y., Tan, J. Y. J., Tan, K. B. J. C., &amp; Chua, R. S. B. (2023). Genesis, evolution and effectiveness of Singapore's national sorting logic and home recovery policies in handling the </w:t>
      </w:r>
      <w:r w:rsidR="00F033FE">
        <w:rPr>
          <w:sz w:val="18"/>
          <w:szCs w:val="18"/>
        </w:rPr>
        <w:t xml:space="preserve">COVID-19 </w:t>
      </w:r>
      <w:r w:rsidRPr="2480EF30">
        <w:rPr>
          <w:sz w:val="18"/>
          <w:szCs w:val="18"/>
        </w:rPr>
        <w:t xml:space="preserve">Delta and Omicron waves. </w:t>
      </w:r>
      <w:r w:rsidRPr="2480EF30">
        <w:rPr>
          <w:i/>
          <w:iCs/>
          <w:sz w:val="18"/>
          <w:szCs w:val="18"/>
        </w:rPr>
        <w:t>The Lancet Regional Health–Western Pacific</w:t>
      </w:r>
      <w:r w:rsidRPr="2480EF30">
        <w:rPr>
          <w:sz w:val="18"/>
          <w:szCs w:val="18"/>
        </w:rPr>
        <w:t>.</w:t>
      </w:r>
    </w:p>
    <w:p w14:paraId="7E5AAF8F" w14:textId="6740BD33" w:rsidR="2480EF30" w:rsidRDefault="2480EF30" w:rsidP="2480EF30"/>
    <w:sectPr w:rsidR="2480EF30" w:rsidSect="0005131E">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9B53" w14:textId="77777777" w:rsidR="0005131E" w:rsidRDefault="0005131E" w:rsidP="00525275">
      <w:r>
        <w:separator/>
      </w:r>
    </w:p>
  </w:endnote>
  <w:endnote w:type="continuationSeparator" w:id="0">
    <w:p w14:paraId="6C76061E" w14:textId="77777777" w:rsidR="0005131E" w:rsidRDefault="0005131E" w:rsidP="00525275">
      <w:r>
        <w:continuationSeparator/>
      </w:r>
    </w:p>
  </w:endnote>
  <w:endnote w:type="continuationNotice" w:id="1">
    <w:p w14:paraId="31D78A32" w14:textId="77777777" w:rsidR="002972FF" w:rsidRDefault="00297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581469"/>
      <w:docPartObj>
        <w:docPartGallery w:val="Page Numbers (Bottom of Page)"/>
        <w:docPartUnique/>
      </w:docPartObj>
    </w:sdtPr>
    <w:sdtEndPr>
      <w:rPr>
        <w:noProof/>
      </w:rPr>
    </w:sdtEndPr>
    <w:sdtContent>
      <w:p w14:paraId="24BA6225" w14:textId="1FD57A39" w:rsidR="00761D40" w:rsidRDefault="00761D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17903D" w14:textId="77777777" w:rsidR="00761D40" w:rsidRDefault="0076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FE37" w14:textId="77777777" w:rsidR="0005131E" w:rsidRDefault="0005131E" w:rsidP="00525275">
      <w:r>
        <w:separator/>
      </w:r>
    </w:p>
  </w:footnote>
  <w:footnote w:type="continuationSeparator" w:id="0">
    <w:p w14:paraId="733514F9" w14:textId="77777777" w:rsidR="0005131E" w:rsidRDefault="0005131E" w:rsidP="00525275">
      <w:r>
        <w:continuationSeparator/>
      </w:r>
    </w:p>
  </w:footnote>
  <w:footnote w:type="continuationNotice" w:id="1">
    <w:p w14:paraId="237092B2" w14:textId="77777777" w:rsidR="002972FF" w:rsidRDefault="002972FF"/>
  </w:footnote>
</w:footnotes>
</file>

<file path=word/intelligence2.xml><?xml version="1.0" encoding="utf-8"?>
<int2:intelligence xmlns:int2="http://schemas.microsoft.com/office/intelligence/2020/intelligence" xmlns:oel="http://schemas.microsoft.com/office/2019/extlst">
  <int2:observations>
    <int2:textHash int2:hashCode="8mEyI4mtR83/I0" int2:id="Xyu9j5W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2EAE"/>
    <w:multiLevelType w:val="hybridMultilevel"/>
    <w:tmpl w:val="2C54F5E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F406A4"/>
    <w:multiLevelType w:val="hybridMultilevel"/>
    <w:tmpl w:val="9B9637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2B3AF8"/>
    <w:multiLevelType w:val="hybridMultilevel"/>
    <w:tmpl w:val="344A41DA"/>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7015BC"/>
    <w:multiLevelType w:val="hybridMultilevel"/>
    <w:tmpl w:val="58064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86B12"/>
    <w:multiLevelType w:val="hybridMultilevel"/>
    <w:tmpl w:val="9B963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A51373"/>
    <w:multiLevelType w:val="hybridMultilevel"/>
    <w:tmpl w:val="9B9637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C62728"/>
    <w:multiLevelType w:val="hybridMultilevel"/>
    <w:tmpl w:val="EA204BEA"/>
    <w:lvl w:ilvl="0" w:tplc="7B8894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086439"/>
    <w:multiLevelType w:val="hybridMultilevel"/>
    <w:tmpl w:val="BA2CAC60"/>
    <w:lvl w:ilvl="0" w:tplc="7B8894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5E256C"/>
    <w:multiLevelType w:val="hybridMultilevel"/>
    <w:tmpl w:val="44EEAC1C"/>
    <w:lvl w:ilvl="0" w:tplc="3B2200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EC65A7"/>
    <w:multiLevelType w:val="hybridMultilevel"/>
    <w:tmpl w:val="5B0438EE"/>
    <w:lvl w:ilvl="0" w:tplc="7B88947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2748827">
    <w:abstractNumId w:val="4"/>
  </w:num>
  <w:num w:numId="2" w16cid:durableId="123425441">
    <w:abstractNumId w:val="3"/>
  </w:num>
  <w:num w:numId="3" w16cid:durableId="1985159913">
    <w:abstractNumId w:val="1"/>
  </w:num>
  <w:num w:numId="4" w16cid:durableId="18894040">
    <w:abstractNumId w:val="7"/>
  </w:num>
  <w:num w:numId="5" w16cid:durableId="1109812127">
    <w:abstractNumId w:val="8"/>
  </w:num>
  <w:num w:numId="6" w16cid:durableId="1562059448">
    <w:abstractNumId w:val="5"/>
  </w:num>
  <w:num w:numId="7" w16cid:durableId="537282026">
    <w:abstractNumId w:val="6"/>
  </w:num>
  <w:num w:numId="8" w16cid:durableId="179857615">
    <w:abstractNumId w:val="2"/>
  </w:num>
  <w:num w:numId="9" w16cid:durableId="2008053040">
    <w:abstractNumId w:val="0"/>
  </w:num>
  <w:num w:numId="10" w16cid:durableId="346293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FC"/>
    <w:rsid w:val="00001EDB"/>
    <w:rsid w:val="000070A1"/>
    <w:rsid w:val="00011C79"/>
    <w:rsid w:val="00014775"/>
    <w:rsid w:val="00015BAB"/>
    <w:rsid w:val="00020681"/>
    <w:rsid w:val="00021399"/>
    <w:rsid w:val="0002588C"/>
    <w:rsid w:val="00031473"/>
    <w:rsid w:val="00032841"/>
    <w:rsid w:val="000328E0"/>
    <w:rsid w:val="00037508"/>
    <w:rsid w:val="0005131E"/>
    <w:rsid w:val="00054D60"/>
    <w:rsid w:val="0007006B"/>
    <w:rsid w:val="00070292"/>
    <w:rsid w:val="000722A6"/>
    <w:rsid w:val="000727F1"/>
    <w:rsid w:val="00073EB1"/>
    <w:rsid w:val="000759CE"/>
    <w:rsid w:val="00080D97"/>
    <w:rsid w:val="000832A8"/>
    <w:rsid w:val="00094F24"/>
    <w:rsid w:val="00096A12"/>
    <w:rsid w:val="000A2C67"/>
    <w:rsid w:val="000A412C"/>
    <w:rsid w:val="000A4DC4"/>
    <w:rsid w:val="000B04D9"/>
    <w:rsid w:val="000B2239"/>
    <w:rsid w:val="000B26DE"/>
    <w:rsid w:val="000B36A8"/>
    <w:rsid w:val="000B5A53"/>
    <w:rsid w:val="000C5561"/>
    <w:rsid w:val="000D0331"/>
    <w:rsid w:val="000D12CC"/>
    <w:rsid w:val="000D38F4"/>
    <w:rsid w:val="000F0D99"/>
    <w:rsid w:val="000F57D7"/>
    <w:rsid w:val="001006D9"/>
    <w:rsid w:val="0010127C"/>
    <w:rsid w:val="00102522"/>
    <w:rsid w:val="001114D7"/>
    <w:rsid w:val="001318F8"/>
    <w:rsid w:val="00132964"/>
    <w:rsid w:val="00134535"/>
    <w:rsid w:val="00134BC7"/>
    <w:rsid w:val="00140729"/>
    <w:rsid w:val="0014121A"/>
    <w:rsid w:val="00163134"/>
    <w:rsid w:val="00163614"/>
    <w:rsid w:val="00164A26"/>
    <w:rsid w:val="0017135A"/>
    <w:rsid w:val="0017148B"/>
    <w:rsid w:val="0017544F"/>
    <w:rsid w:val="001770D8"/>
    <w:rsid w:val="00180D4B"/>
    <w:rsid w:val="0018162C"/>
    <w:rsid w:val="001835EF"/>
    <w:rsid w:val="00183707"/>
    <w:rsid w:val="00183E37"/>
    <w:rsid w:val="00197C54"/>
    <w:rsid w:val="001A0EF1"/>
    <w:rsid w:val="001B24B3"/>
    <w:rsid w:val="001B641E"/>
    <w:rsid w:val="001C0CE5"/>
    <w:rsid w:val="001D0ACA"/>
    <w:rsid w:val="001D1179"/>
    <w:rsid w:val="001D7B95"/>
    <w:rsid w:val="001E48BD"/>
    <w:rsid w:val="001E7400"/>
    <w:rsid w:val="001F294D"/>
    <w:rsid w:val="001F473D"/>
    <w:rsid w:val="001F791D"/>
    <w:rsid w:val="00203D05"/>
    <w:rsid w:val="00205CC7"/>
    <w:rsid w:val="0020608E"/>
    <w:rsid w:val="00214409"/>
    <w:rsid w:val="00215BA4"/>
    <w:rsid w:val="00215EDC"/>
    <w:rsid w:val="00220E5A"/>
    <w:rsid w:val="00234432"/>
    <w:rsid w:val="00234B78"/>
    <w:rsid w:val="00235186"/>
    <w:rsid w:val="00236B36"/>
    <w:rsid w:val="00243208"/>
    <w:rsid w:val="00246F37"/>
    <w:rsid w:val="00255BC7"/>
    <w:rsid w:val="00257C57"/>
    <w:rsid w:val="00262F35"/>
    <w:rsid w:val="00266F1B"/>
    <w:rsid w:val="00271961"/>
    <w:rsid w:val="00277326"/>
    <w:rsid w:val="002826B6"/>
    <w:rsid w:val="00283061"/>
    <w:rsid w:val="00283517"/>
    <w:rsid w:val="00283C6B"/>
    <w:rsid w:val="00285DBE"/>
    <w:rsid w:val="002904AB"/>
    <w:rsid w:val="00292584"/>
    <w:rsid w:val="002928B0"/>
    <w:rsid w:val="00292C74"/>
    <w:rsid w:val="002972FF"/>
    <w:rsid w:val="002A38C2"/>
    <w:rsid w:val="002A4278"/>
    <w:rsid w:val="002A63A1"/>
    <w:rsid w:val="002B6085"/>
    <w:rsid w:val="002D3D3E"/>
    <w:rsid w:val="002E2663"/>
    <w:rsid w:val="002E2F6A"/>
    <w:rsid w:val="002E5306"/>
    <w:rsid w:val="002F1496"/>
    <w:rsid w:val="002F6813"/>
    <w:rsid w:val="003134C1"/>
    <w:rsid w:val="00314350"/>
    <w:rsid w:val="00324F63"/>
    <w:rsid w:val="003252BF"/>
    <w:rsid w:val="003412EA"/>
    <w:rsid w:val="00341BAD"/>
    <w:rsid w:val="00351B1A"/>
    <w:rsid w:val="00352FD0"/>
    <w:rsid w:val="00355DCB"/>
    <w:rsid w:val="003607FD"/>
    <w:rsid w:val="00362C9C"/>
    <w:rsid w:val="00365551"/>
    <w:rsid w:val="00371B32"/>
    <w:rsid w:val="00383DF4"/>
    <w:rsid w:val="00394462"/>
    <w:rsid w:val="003A073B"/>
    <w:rsid w:val="003B0E2F"/>
    <w:rsid w:val="003B174F"/>
    <w:rsid w:val="003B2970"/>
    <w:rsid w:val="003B4742"/>
    <w:rsid w:val="003C013D"/>
    <w:rsid w:val="003C49C6"/>
    <w:rsid w:val="003C7283"/>
    <w:rsid w:val="003D0409"/>
    <w:rsid w:val="003D5A2E"/>
    <w:rsid w:val="003D78DE"/>
    <w:rsid w:val="003E1586"/>
    <w:rsid w:val="003E1D2E"/>
    <w:rsid w:val="003E3928"/>
    <w:rsid w:val="003E709C"/>
    <w:rsid w:val="003F1266"/>
    <w:rsid w:val="00411F16"/>
    <w:rsid w:val="004170F7"/>
    <w:rsid w:val="00420DCF"/>
    <w:rsid w:val="00431939"/>
    <w:rsid w:val="00434F9B"/>
    <w:rsid w:val="0043533D"/>
    <w:rsid w:val="004368F3"/>
    <w:rsid w:val="00437885"/>
    <w:rsid w:val="00437A6D"/>
    <w:rsid w:val="004407F1"/>
    <w:rsid w:val="0044546F"/>
    <w:rsid w:val="00455748"/>
    <w:rsid w:val="00455C46"/>
    <w:rsid w:val="00456CE6"/>
    <w:rsid w:val="0046216C"/>
    <w:rsid w:val="00485345"/>
    <w:rsid w:val="004867B2"/>
    <w:rsid w:val="00490326"/>
    <w:rsid w:val="00491716"/>
    <w:rsid w:val="00493645"/>
    <w:rsid w:val="004A0479"/>
    <w:rsid w:val="004A5DF5"/>
    <w:rsid w:val="004B09BF"/>
    <w:rsid w:val="004B1DCA"/>
    <w:rsid w:val="004C0819"/>
    <w:rsid w:val="004C127C"/>
    <w:rsid w:val="004C142B"/>
    <w:rsid w:val="004C7278"/>
    <w:rsid w:val="004D3B49"/>
    <w:rsid w:val="004F21B6"/>
    <w:rsid w:val="004F2473"/>
    <w:rsid w:val="004F4A4C"/>
    <w:rsid w:val="004F5AB4"/>
    <w:rsid w:val="00503F6C"/>
    <w:rsid w:val="005045ED"/>
    <w:rsid w:val="00511577"/>
    <w:rsid w:val="00516A8B"/>
    <w:rsid w:val="00521AF2"/>
    <w:rsid w:val="005222C5"/>
    <w:rsid w:val="0052305E"/>
    <w:rsid w:val="00525275"/>
    <w:rsid w:val="00533A05"/>
    <w:rsid w:val="00533FB6"/>
    <w:rsid w:val="00541043"/>
    <w:rsid w:val="00546075"/>
    <w:rsid w:val="005471E1"/>
    <w:rsid w:val="00551175"/>
    <w:rsid w:val="00556EE6"/>
    <w:rsid w:val="00563490"/>
    <w:rsid w:val="0056452E"/>
    <w:rsid w:val="0056536E"/>
    <w:rsid w:val="00570266"/>
    <w:rsid w:val="005906FD"/>
    <w:rsid w:val="005A3D19"/>
    <w:rsid w:val="005B0BC1"/>
    <w:rsid w:val="005D1A85"/>
    <w:rsid w:val="005E28EC"/>
    <w:rsid w:val="005E4DC3"/>
    <w:rsid w:val="005E7E8F"/>
    <w:rsid w:val="005F5F95"/>
    <w:rsid w:val="005F6DE4"/>
    <w:rsid w:val="006005C9"/>
    <w:rsid w:val="0060419D"/>
    <w:rsid w:val="00610604"/>
    <w:rsid w:val="00610A0B"/>
    <w:rsid w:val="006139AC"/>
    <w:rsid w:val="0061520F"/>
    <w:rsid w:val="00620F1F"/>
    <w:rsid w:val="00625565"/>
    <w:rsid w:val="006277F8"/>
    <w:rsid w:val="00630427"/>
    <w:rsid w:val="006306A0"/>
    <w:rsid w:val="00637410"/>
    <w:rsid w:val="006416B2"/>
    <w:rsid w:val="00642495"/>
    <w:rsid w:val="00645BB2"/>
    <w:rsid w:val="00647B8E"/>
    <w:rsid w:val="0066328F"/>
    <w:rsid w:val="0066360C"/>
    <w:rsid w:val="00664A73"/>
    <w:rsid w:val="0067021F"/>
    <w:rsid w:val="00682012"/>
    <w:rsid w:val="00684552"/>
    <w:rsid w:val="0069080C"/>
    <w:rsid w:val="00694535"/>
    <w:rsid w:val="00694EF2"/>
    <w:rsid w:val="006A06CD"/>
    <w:rsid w:val="006A20FA"/>
    <w:rsid w:val="006A5B74"/>
    <w:rsid w:val="006B14B5"/>
    <w:rsid w:val="006D0096"/>
    <w:rsid w:val="006D0CFC"/>
    <w:rsid w:val="006E1161"/>
    <w:rsid w:val="006E1757"/>
    <w:rsid w:val="006E4A70"/>
    <w:rsid w:val="006E6DB0"/>
    <w:rsid w:val="006F1805"/>
    <w:rsid w:val="006F36D9"/>
    <w:rsid w:val="0070105F"/>
    <w:rsid w:val="00705B52"/>
    <w:rsid w:val="00712E57"/>
    <w:rsid w:val="00716A24"/>
    <w:rsid w:val="0072522B"/>
    <w:rsid w:val="00732BAA"/>
    <w:rsid w:val="00733404"/>
    <w:rsid w:val="00733FD6"/>
    <w:rsid w:val="00734D4A"/>
    <w:rsid w:val="00735112"/>
    <w:rsid w:val="007353D9"/>
    <w:rsid w:val="00745C8C"/>
    <w:rsid w:val="00751134"/>
    <w:rsid w:val="0075475A"/>
    <w:rsid w:val="007602C1"/>
    <w:rsid w:val="00760727"/>
    <w:rsid w:val="00761D40"/>
    <w:rsid w:val="0076319B"/>
    <w:rsid w:val="00767B69"/>
    <w:rsid w:val="0077243E"/>
    <w:rsid w:val="00777978"/>
    <w:rsid w:val="007820C5"/>
    <w:rsid w:val="00782DA8"/>
    <w:rsid w:val="0078690F"/>
    <w:rsid w:val="0079265B"/>
    <w:rsid w:val="00796C32"/>
    <w:rsid w:val="007A0B06"/>
    <w:rsid w:val="007A0FD8"/>
    <w:rsid w:val="007A4A56"/>
    <w:rsid w:val="007C3DB0"/>
    <w:rsid w:val="007C686E"/>
    <w:rsid w:val="007E4FF0"/>
    <w:rsid w:val="007E562A"/>
    <w:rsid w:val="0080304D"/>
    <w:rsid w:val="00804204"/>
    <w:rsid w:val="00805087"/>
    <w:rsid w:val="00805A37"/>
    <w:rsid w:val="00826821"/>
    <w:rsid w:val="008307DF"/>
    <w:rsid w:val="00834EF3"/>
    <w:rsid w:val="00842DD4"/>
    <w:rsid w:val="00850060"/>
    <w:rsid w:val="00850DDE"/>
    <w:rsid w:val="00860AC0"/>
    <w:rsid w:val="00867560"/>
    <w:rsid w:val="008756C5"/>
    <w:rsid w:val="008B1B8F"/>
    <w:rsid w:val="008B3CAE"/>
    <w:rsid w:val="008C2420"/>
    <w:rsid w:val="008C2EAC"/>
    <w:rsid w:val="008C48EB"/>
    <w:rsid w:val="008C62E6"/>
    <w:rsid w:val="008C73D3"/>
    <w:rsid w:val="008D362B"/>
    <w:rsid w:val="008E5CAB"/>
    <w:rsid w:val="008F3949"/>
    <w:rsid w:val="00904B24"/>
    <w:rsid w:val="009109CE"/>
    <w:rsid w:val="00912BFE"/>
    <w:rsid w:val="009174F4"/>
    <w:rsid w:val="009240BD"/>
    <w:rsid w:val="00924EDF"/>
    <w:rsid w:val="009251E1"/>
    <w:rsid w:val="00930485"/>
    <w:rsid w:val="00933EBE"/>
    <w:rsid w:val="0093470C"/>
    <w:rsid w:val="009357F9"/>
    <w:rsid w:val="00936887"/>
    <w:rsid w:val="00943956"/>
    <w:rsid w:val="00943E4F"/>
    <w:rsid w:val="009455CE"/>
    <w:rsid w:val="00960CD3"/>
    <w:rsid w:val="009628C4"/>
    <w:rsid w:val="00967924"/>
    <w:rsid w:val="00970461"/>
    <w:rsid w:val="009732F1"/>
    <w:rsid w:val="00974193"/>
    <w:rsid w:val="009755FD"/>
    <w:rsid w:val="0097703F"/>
    <w:rsid w:val="00994C61"/>
    <w:rsid w:val="009A1F11"/>
    <w:rsid w:val="009A2D4C"/>
    <w:rsid w:val="009A2F74"/>
    <w:rsid w:val="009B164A"/>
    <w:rsid w:val="009D0522"/>
    <w:rsid w:val="009D2F65"/>
    <w:rsid w:val="009D7F7B"/>
    <w:rsid w:val="009E73F8"/>
    <w:rsid w:val="009F3ACE"/>
    <w:rsid w:val="009F49BC"/>
    <w:rsid w:val="00A01833"/>
    <w:rsid w:val="00A02D0D"/>
    <w:rsid w:val="00A03E98"/>
    <w:rsid w:val="00A04AAF"/>
    <w:rsid w:val="00A071E0"/>
    <w:rsid w:val="00A21667"/>
    <w:rsid w:val="00A31554"/>
    <w:rsid w:val="00A36177"/>
    <w:rsid w:val="00A36BF0"/>
    <w:rsid w:val="00A42E62"/>
    <w:rsid w:val="00A43055"/>
    <w:rsid w:val="00A436D0"/>
    <w:rsid w:val="00A530B6"/>
    <w:rsid w:val="00A55863"/>
    <w:rsid w:val="00A60433"/>
    <w:rsid w:val="00A63394"/>
    <w:rsid w:val="00A67D4D"/>
    <w:rsid w:val="00A728F4"/>
    <w:rsid w:val="00A72AAB"/>
    <w:rsid w:val="00A857DF"/>
    <w:rsid w:val="00AA1318"/>
    <w:rsid w:val="00AB01E8"/>
    <w:rsid w:val="00AB0B49"/>
    <w:rsid w:val="00AB2C72"/>
    <w:rsid w:val="00AC1030"/>
    <w:rsid w:val="00AC1B68"/>
    <w:rsid w:val="00AC2E62"/>
    <w:rsid w:val="00AC4380"/>
    <w:rsid w:val="00AD0757"/>
    <w:rsid w:val="00AE5ED6"/>
    <w:rsid w:val="00AE7D18"/>
    <w:rsid w:val="00AF2DEE"/>
    <w:rsid w:val="00AF35CC"/>
    <w:rsid w:val="00AF7F80"/>
    <w:rsid w:val="00B01B41"/>
    <w:rsid w:val="00B023FC"/>
    <w:rsid w:val="00B03BC8"/>
    <w:rsid w:val="00B05BAD"/>
    <w:rsid w:val="00B07D5B"/>
    <w:rsid w:val="00B07E59"/>
    <w:rsid w:val="00B223AB"/>
    <w:rsid w:val="00B23018"/>
    <w:rsid w:val="00B3115C"/>
    <w:rsid w:val="00B32B60"/>
    <w:rsid w:val="00B33387"/>
    <w:rsid w:val="00B36C8E"/>
    <w:rsid w:val="00B4489B"/>
    <w:rsid w:val="00B51B19"/>
    <w:rsid w:val="00B56BB5"/>
    <w:rsid w:val="00B70A7F"/>
    <w:rsid w:val="00B92D4D"/>
    <w:rsid w:val="00B94F6B"/>
    <w:rsid w:val="00BB1D6A"/>
    <w:rsid w:val="00BB21A1"/>
    <w:rsid w:val="00BB2BEF"/>
    <w:rsid w:val="00BC19C9"/>
    <w:rsid w:val="00BC5948"/>
    <w:rsid w:val="00BD0327"/>
    <w:rsid w:val="00BD6F9B"/>
    <w:rsid w:val="00BE6E0C"/>
    <w:rsid w:val="00BF2FEC"/>
    <w:rsid w:val="00BF3A5E"/>
    <w:rsid w:val="00C12224"/>
    <w:rsid w:val="00C15A58"/>
    <w:rsid w:val="00C215F2"/>
    <w:rsid w:val="00C3099A"/>
    <w:rsid w:val="00C329F9"/>
    <w:rsid w:val="00C33DB9"/>
    <w:rsid w:val="00C377A8"/>
    <w:rsid w:val="00C43F94"/>
    <w:rsid w:val="00C44B23"/>
    <w:rsid w:val="00C50234"/>
    <w:rsid w:val="00C8486F"/>
    <w:rsid w:val="00C87B8C"/>
    <w:rsid w:val="00C900FF"/>
    <w:rsid w:val="00CA1EFC"/>
    <w:rsid w:val="00CA7CB8"/>
    <w:rsid w:val="00CB3E8C"/>
    <w:rsid w:val="00CB546F"/>
    <w:rsid w:val="00CC1A5E"/>
    <w:rsid w:val="00CC2144"/>
    <w:rsid w:val="00CD3C3F"/>
    <w:rsid w:val="00CD6E9E"/>
    <w:rsid w:val="00CE255A"/>
    <w:rsid w:val="00CE2D9E"/>
    <w:rsid w:val="00D023B8"/>
    <w:rsid w:val="00D030E1"/>
    <w:rsid w:val="00D1295D"/>
    <w:rsid w:val="00D1349B"/>
    <w:rsid w:val="00D15F56"/>
    <w:rsid w:val="00D1645A"/>
    <w:rsid w:val="00D16F36"/>
    <w:rsid w:val="00D17FE1"/>
    <w:rsid w:val="00D30874"/>
    <w:rsid w:val="00D37A4B"/>
    <w:rsid w:val="00D426F0"/>
    <w:rsid w:val="00D50768"/>
    <w:rsid w:val="00D52E56"/>
    <w:rsid w:val="00D540E8"/>
    <w:rsid w:val="00D804E3"/>
    <w:rsid w:val="00D83DE8"/>
    <w:rsid w:val="00D908A3"/>
    <w:rsid w:val="00D95AF6"/>
    <w:rsid w:val="00DA1078"/>
    <w:rsid w:val="00DA4D39"/>
    <w:rsid w:val="00DA6BEC"/>
    <w:rsid w:val="00DB3F93"/>
    <w:rsid w:val="00DB6D21"/>
    <w:rsid w:val="00DC2FC1"/>
    <w:rsid w:val="00DC5A7E"/>
    <w:rsid w:val="00DD2A44"/>
    <w:rsid w:val="00DD7B60"/>
    <w:rsid w:val="00DE2F5A"/>
    <w:rsid w:val="00DF2784"/>
    <w:rsid w:val="00DF405C"/>
    <w:rsid w:val="00DF4DDB"/>
    <w:rsid w:val="00E05FC4"/>
    <w:rsid w:val="00E103C6"/>
    <w:rsid w:val="00E218F8"/>
    <w:rsid w:val="00E221ED"/>
    <w:rsid w:val="00E223AC"/>
    <w:rsid w:val="00E266E0"/>
    <w:rsid w:val="00E26AD8"/>
    <w:rsid w:val="00E301BF"/>
    <w:rsid w:val="00E317B2"/>
    <w:rsid w:val="00E336A7"/>
    <w:rsid w:val="00E358EE"/>
    <w:rsid w:val="00E36E1B"/>
    <w:rsid w:val="00E40DB3"/>
    <w:rsid w:val="00E40FF3"/>
    <w:rsid w:val="00E4443C"/>
    <w:rsid w:val="00E456C5"/>
    <w:rsid w:val="00E47E8F"/>
    <w:rsid w:val="00E52676"/>
    <w:rsid w:val="00E57D19"/>
    <w:rsid w:val="00E6409C"/>
    <w:rsid w:val="00E81428"/>
    <w:rsid w:val="00E81765"/>
    <w:rsid w:val="00E93551"/>
    <w:rsid w:val="00E956F4"/>
    <w:rsid w:val="00E95FB1"/>
    <w:rsid w:val="00EB1519"/>
    <w:rsid w:val="00EB2B7E"/>
    <w:rsid w:val="00EB498A"/>
    <w:rsid w:val="00EB6704"/>
    <w:rsid w:val="00EC0555"/>
    <w:rsid w:val="00EC3F4E"/>
    <w:rsid w:val="00EC767E"/>
    <w:rsid w:val="00ED1CC6"/>
    <w:rsid w:val="00ED5C6D"/>
    <w:rsid w:val="00EE5DC9"/>
    <w:rsid w:val="00EE6036"/>
    <w:rsid w:val="00EE64C2"/>
    <w:rsid w:val="00EE7C23"/>
    <w:rsid w:val="00EF0382"/>
    <w:rsid w:val="00F02707"/>
    <w:rsid w:val="00F033FE"/>
    <w:rsid w:val="00F111A1"/>
    <w:rsid w:val="00F1213E"/>
    <w:rsid w:val="00F15520"/>
    <w:rsid w:val="00F32D93"/>
    <w:rsid w:val="00F34D86"/>
    <w:rsid w:val="00F35B9F"/>
    <w:rsid w:val="00F36615"/>
    <w:rsid w:val="00F429BD"/>
    <w:rsid w:val="00F43844"/>
    <w:rsid w:val="00F43E2A"/>
    <w:rsid w:val="00F47511"/>
    <w:rsid w:val="00F476A0"/>
    <w:rsid w:val="00F501EE"/>
    <w:rsid w:val="00F62F3D"/>
    <w:rsid w:val="00F66289"/>
    <w:rsid w:val="00F666DB"/>
    <w:rsid w:val="00F72655"/>
    <w:rsid w:val="00F75A3B"/>
    <w:rsid w:val="00F80353"/>
    <w:rsid w:val="00F807E3"/>
    <w:rsid w:val="00F818CC"/>
    <w:rsid w:val="00F90E3D"/>
    <w:rsid w:val="00FA490E"/>
    <w:rsid w:val="00FB001D"/>
    <w:rsid w:val="00FB042F"/>
    <w:rsid w:val="00FB42C6"/>
    <w:rsid w:val="00FB5B93"/>
    <w:rsid w:val="00FC74ED"/>
    <w:rsid w:val="00FD67FC"/>
    <w:rsid w:val="00FE77EC"/>
    <w:rsid w:val="00FF0B54"/>
    <w:rsid w:val="00FF1C73"/>
    <w:rsid w:val="00FF44C2"/>
    <w:rsid w:val="00FF7328"/>
    <w:rsid w:val="12B34A52"/>
    <w:rsid w:val="2480EF30"/>
    <w:rsid w:val="3187830C"/>
    <w:rsid w:val="52EC8D6E"/>
    <w:rsid w:val="5AF045B4"/>
    <w:rsid w:val="786EA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1503"/>
  <w15:chartTrackingRefBased/>
  <w15:docId w15:val="{42ECFECD-60DB-4602-87B6-38411DA7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4"/>
        <w:szCs w:val="24"/>
        <w:lang w:val="en-GB"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48"/>
    <w:pPr>
      <w:contextualSpacing/>
    </w:pPr>
    <w:rPr>
      <w:rFonts w:ascii="Arial" w:hAnsi="Arial" w:cs="Arial"/>
      <w:kern w:val="0"/>
      <w:sz w:val="20"/>
      <w:szCs w:val="22"/>
      <w:lang w:eastAsia="en-GB"/>
      <w14:ligatures w14:val="none"/>
    </w:rPr>
  </w:style>
  <w:style w:type="paragraph" w:styleId="Heading1">
    <w:name w:val="heading 1"/>
    <w:basedOn w:val="Normal"/>
    <w:next w:val="Normal"/>
    <w:link w:val="Heading1Char"/>
    <w:autoRedefine/>
    <w:uiPriority w:val="9"/>
    <w:qFormat/>
    <w:rsid w:val="00525275"/>
    <w:pPr>
      <w:keepNext/>
      <w:keepLines/>
      <w:spacing w:before="240" w:after="16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B4489B"/>
    <w:pPr>
      <w:keepNext/>
      <w:keepLines/>
      <w:spacing w:before="40" w:after="8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rsid w:val="00751134"/>
    <w:pPr>
      <w:keepNext/>
      <w:keepLines/>
      <w:spacing w:before="40"/>
      <w:outlineLvl w:val="2"/>
    </w:pPr>
    <w:rPr>
      <w:rFonts w:eastAsiaTheme="majorEastAsia" w:cstheme="majorBidi"/>
      <w:color w:val="000000" w:themeColor="text1"/>
      <w:sz w:val="24"/>
    </w:rPr>
  </w:style>
  <w:style w:type="paragraph" w:styleId="Heading4">
    <w:name w:val="heading 4"/>
    <w:basedOn w:val="Normal"/>
    <w:next w:val="Normal"/>
    <w:link w:val="Heading4Char"/>
    <w:uiPriority w:val="9"/>
    <w:unhideWhenUsed/>
    <w:rsid w:val="004C7278"/>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275"/>
    <w:rPr>
      <w:rFonts w:ascii="Arial" w:eastAsiaTheme="majorEastAsia" w:hAnsi="Arial" w:cstheme="majorBidi"/>
      <w:color w:val="000000" w:themeColor="text1"/>
      <w:kern w:val="0"/>
      <w:sz w:val="32"/>
      <w:szCs w:val="32"/>
      <w:lang w:eastAsia="en-GB"/>
      <w14:ligatures w14:val="none"/>
    </w:rPr>
  </w:style>
  <w:style w:type="character" w:customStyle="1" w:styleId="Heading2Char">
    <w:name w:val="Heading 2 Char"/>
    <w:basedOn w:val="DefaultParagraphFont"/>
    <w:link w:val="Heading2"/>
    <w:uiPriority w:val="9"/>
    <w:rsid w:val="00B4489B"/>
    <w:rPr>
      <w:rFonts w:ascii="Arial" w:eastAsiaTheme="majorEastAsia" w:hAnsi="Arial" w:cstheme="majorBidi"/>
      <w:color w:val="000000" w:themeColor="text1"/>
      <w:sz w:val="26"/>
      <w:szCs w:val="26"/>
      <w:lang w:eastAsia="en-GB"/>
    </w:rPr>
  </w:style>
  <w:style w:type="character" w:customStyle="1" w:styleId="Heading3Char">
    <w:name w:val="Heading 3 Char"/>
    <w:basedOn w:val="DefaultParagraphFont"/>
    <w:link w:val="Heading3"/>
    <w:uiPriority w:val="9"/>
    <w:rsid w:val="00751134"/>
    <w:rPr>
      <w:rFonts w:ascii="Arial" w:eastAsiaTheme="majorEastAsia" w:hAnsi="Arial" w:cstheme="majorBidi"/>
      <w:color w:val="000000" w:themeColor="text1"/>
    </w:rPr>
  </w:style>
  <w:style w:type="character" w:customStyle="1" w:styleId="Heading4Char">
    <w:name w:val="Heading 4 Char"/>
    <w:basedOn w:val="DefaultParagraphFont"/>
    <w:link w:val="Heading4"/>
    <w:uiPriority w:val="9"/>
    <w:rsid w:val="004C7278"/>
    <w:rPr>
      <w:rFonts w:ascii="Arial" w:eastAsiaTheme="majorEastAsia" w:hAnsi="Arial" w:cstheme="majorBidi"/>
      <w:i/>
      <w:iCs/>
      <w:color w:val="2F5496" w:themeColor="accent1" w:themeShade="BF"/>
      <w:sz w:val="20"/>
    </w:rPr>
  </w:style>
  <w:style w:type="paragraph" w:styleId="Title">
    <w:name w:val="Title"/>
    <w:basedOn w:val="Normal"/>
    <w:next w:val="Normal"/>
    <w:link w:val="TitleChar"/>
    <w:uiPriority w:val="10"/>
    <w:rsid w:val="004C727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C727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4C7278"/>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C7278"/>
    <w:rPr>
      <w:rFonts w:ascii="Arial" w:eastAsiaTheme="minorEastAsia" w:hAnsi="Arial"/>
      <w:color w:val="5A5A5A" w:themeColor="text1" w:themeTint="A5"/>
      <w:spacing w:val="15"/>
      <w:sz w:val="22"/>
      <w:szCs w:val="22"/>
    </w:rPr>
  </w:style>
  <w:style w:type="paragraph" w:styleId="TOC2">
    <w:name w:val="toc 2"/>
    <w:basedOn w:val="Normal"/>
    <w:next w:val="Normal"/>
    <w:autoRedefine/>
    <w:uiPriority w:val="39"/>
    <w:unhideWhenUsed/>
    <w:rsid w:val="00751134"/>
    <w:pPr>
      <w:spacing w:before="120"/>
      <w:ind w:left="200"/>
      <w:jc w:val="left"/>
    </w:pPr>
    <w:rPr>
      <w:rFonts w:ascii="Times New Roman" w:hAnsi="Times New Roman" w:cstheme="minorHAnsi"/>
      <w:b/>
      <w:bCs/>
      <w:sz w:val="22"/>
    </w:rPr>
  </w:style>
  <w:style w:type="paragraph" w:customStyle="1" w:styleId="EndNoteBibliography">
    <w:name w:val="EndNote Bibliography"/>
    <w:basedOn w:val="Normal"/>
    <w:link w:val="EndNoteBibliographyChar"/>
    <w:autoRedefine/>
    <w:qFormat/>
    <w:rsid w:val="00C15A58"/>
    <w:pPr>
      <w:ind w:left="720" w:hanging="720"/>
    </w:pPr>
  </w:style>
  <w:style w:type="character" w:customStyle="1" w:styleId="EndNoteBibliographyChar">
    <w:name w:val="EndNote Bibliography Char"/>
    <w:basedOn w:val="DefaultParagraphFont"/>
    <w:link w:val="EndNoteBibliography"/>
    <w:rsid w:val="00C15A58"/>
    <w:rPr>
      <w:rFonts w:ascii="Arial" w:hAnsi="Arial" w:cs="Arial"/>
      <w:sz w:val="20"/>
      <w:szCs w:val="22"/>
      <w:lang w:eastAsia="en-GB"/>
    </w:rPr>
  </w:style>
  <w:style w:type="paragraph" w:styleId="FootnoteText">
    <w:name w:val="footnote text"/>
    <w:basedOn w:val="Normal"/>
    <w:link w:val="FootnoteTextChar"/>
    <w:autoRedefine/>
    <w:uiPriority w:val="99"/>
    <w:semiHidden/>
    <w:unhideWhenUsed/>
    <w:rsid w:val="00FB001D"/>
    <w:rPr>
      <w:sz w:val="18"/>
      <w:szCs w:val="20"/>
    </w:rPr>
  </w:style>
  <w:style w:type="character" w:customStyle="1" w:styleId="FootnoteTextChar">
    <w:name w:val="Footnote Text Char"/>
    <w:basedOn w:val="DefaultParagraphFont"/>
    <w:link w:val="FootnoteText"/>
    <w:uiPriority w:val="99"/>
    <w:semiHidden/>
    <w:rsid w:val="00FB001D"/>
    <w:rPr>
      <w:rFonts w:ascii="Arial" w:hAnsi="Arial" w:cs="Arial"/>
      <w:sz w:val="18"/>
      <w:szCs w:val="20"/>
      <w:lang w:eastAsia="en-GB"/>
    </w:rPr>
  </w:style>
  <w:style w:type="paragraph" w:styleId="ListParagraph">
    <w:name w:val="List Paragraph"/>
    <w:basedOn w:val="Normal"/>
    <w:uiPriority w:val="34"/>
    <w:qFormat/>
    <w:rsid w:val="00AB01E8"/>
    <w:pPr>
      <w:ind w:left="720"/>
    </w:pPr>
  </w:style>
  <w:style w:type="character" w:styleId="Hyperlink">
    <w:name w:val="Hyperlink"/>
    <w:basedOn w:val="DefaultParagraphFont"/>
    <w:uiPriority w:val="99"/>
    <w:unhideWhenUsed/>
    <w:rsid w:val="00525275"/>
    <w:rPr>
      <w:color w:val="0563C1" w:themeColor="hyperlink"/>
      <w:u w:val="single"/>
    </w:rPr>
  </w:style>
  <w:style w:type="character" w:styleId="UnresolvedMention">
    <w:name w:val="Unresolved Mention"/>
    <w:basedOn w:val="DefaultParagraphFont"/>
    <w:uiPriority w:val="99"/>
    <w:semiHidden/>
    <w:unhideWhenUsed/>
    <w:rsid w:val="00525275"/>
    <w:rPr>
      <w:color w:val="605E5C"/>
      <w:shd w:val="clear" w:color="auto" w:fill="E1DFDD"/>
    </w:rPr>
  </w:style>
  <w:style w:type="character" w:styleId="FootnoteReference">
    <w:name w:val="footnote reference"/>
    <w:basedOn w:val="DefaultParagraphFont"/>
    <w:uiPriority w:val="99"/>
    <w:semiHidden/>
    <w:unhideWhenUsed/>
    <w:rsid w:val="00525275"/>
    <w:rPr>
      <w:vertAlign w:val="superscript"/>
    </w:rPr>
  </w:style>
  <w:style w:type="table" w:styleId="TableGrid">
    <w:name w:val="Table Grid"/>
    <w:basedOn w:val="TableNormal"/>
    <w:uiPriority w:val="39"/>
    <w:rsid w:val="0099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5AF6"/>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FB5B93"/>
    <w:rPr>
      <w:sz w:val="16"/>
      <w:szCs w:val="16"/>
    </w:rPr>
  </w:style>
  <w:style w:type="paragraph" w:styleId="CommentText">
    <w:name w:val="annotation text"/>
    <w:basedOn w:val="Normal"/>
    <w:link w:val="CommentTextChar"/>
    <w:uiPriority w:val="99"/>
    <w:unhideWhenUsed/>
    <w:rsid w:val="00FB5B93"/>
    <w:rPr>
      <w:szCs w:val="20"/>
    </w:rPr>
  </w:style>
  <w:style w:type="character" w:customStyle="1" w:styleId="CommentTextChar">
    <w:name w:val="Comment Text Char"/>
    <w:basedOn w:val="DefaultParagraphFont"/>
    <w:link w:val="CommentText"/>
    <w:uiPriority w:val="99"/>
    <w:rsid w:val="00FB5B93"/>
    <w:rPr>
      <w:rFonts w:ascii="Arial" w:hAnsi="Arial" w:cs="Arial"/>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FB5B93"/>
    <w:rPr>
      <w:b/>
      <w:bCs/>
    </w:rPr>
  </w:style>
  <w:style w:type="character" w:customStyle="1" w:styleId="CommentSubjectChar">
    <w:name w:val="Comment Subject Char"/>
    <w:basedOn w:val="CommentTextChar"/>
    <w:link w:val="CommentSubject"/>
    <w:uiPriority w:val="99"/>
    <w:semiHidden/>
    <w:rsid w:val="00FB5B93"/>
    <w:rPr>
      <w:rFonts w:ascii="Arial" w:hAnsi="Arial" w:cs="Arial"/>
      <w:b/>
      <w:bCs/>
      <w:kern w:val="0"/>
      <w:sz w:val="20"/>
      <w:szCs w:val="20"/>
      <w:lang w:eastAsia="en-GB"/>
      <w14:ligatures w14:val="none"/>
    </w:rPr>
  </w:style>
  <w:style w:type="paragraph" w:styleId="Header">
    <w:name w:val="header"/>
    <w:basedOn w:val="Normal"/>
    <w:link w:val="HeaderChar"/>
    <w:uiPriority w:val="99"/>
    <w:unhideWhenUsed/>
    <w:rsid w:val="00761D40"/>
    <w:pPr>
      <w:tabs>
        <w:tab w:val="center" w:pos="4513"/>
        <w:tab w:val="right" w:pos="9026"/>
      </w:tabs>
    </w:pPr>
  </w:style>
  <w:style w:type="character" w:customStyle="1" w:styleId="HeaderChar">
    <w:name w:val="Header Char"/>
    <w:basedOn w:val="DefaultParagraphFont"/>
    <w:link w:val="Header"/>
    <w:uiPriority w:val="99"/>
    <w:rsid w:val="00761D40"/>
    <w:rPr>
      <w:rFonts w:ascii="Arial" w:hAnsi="Arial" w:cs="Arial"/>
      <w:kern w:val="0"/>
      <w:sz w:val="20"/>
      <w:szCs w:val="22"/>
      <w:lang w:eastAsia="en-GB"/>
      <w14:ligatures w14:val="none"/>
    </w:rPr>
  </w:style>
  <w:style w:type="paragraph" w:styleId="Footer">
    <w:name w:val="footer"/>
    <w:basedOn w:val="Normal"/>
    <w:link w:val="FooterChar"/>
    <w:uiPriority w:val="99"/>
    <w:unhideWhenUsed/>
    <w:rsid w:val="00761D40"/>
    <w:pPr>
      <w:tabs>
        <w:tab w:val="center" w:pos="4513"/>
        <w:tab w:val="right" w:pos="9026"/>
      </w:tabs>
    </w:pPr>
  </w:style>
  <w:style w:type="character" w:customStyle="1" w:styleId="FooterChar">
    <w:name w:val="Footer Char"/>
    <w:basedOn w:val="DefaultParagraphFont"/>
    <w:link w:val="Footer"/>
    <w:uiPriority w:val="99"/>
    <w:rsid w:val="00761D40"/>
    <w:rPr>
      <w:rFonts w:ascii="Arial" w:hAnsi="Arial" w:cs="Arial"/>
      <w:kern w:val="0"/>
      <w:sz w:val="20"/>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0182">
      <w:bodyDiv w:val="1"/>
      <w:marLeft w:val="0"/>
      <w:marRight w:val="0"/>
      <w:marTop w:val="0"/>
      <w:marBottom w:val="0"/>
      <w:divBdr>
        <w:top w:val="none" w:sz="0" w:space="0" w:color="auto"/>
        <w:left w:val="none" w:sz="0" w:space="0" w:color="auto"/>
        <w:bottom w:val="none" w:sz="0" w:space="0" w:color="auto"/>
        <w:right w:val="none" w:sz="0" w:space="0" w:color="auto"/>
      </w:divBdr>
      <w:divsChild>
        <w:div w:id="1641376909">
          <w:marLeft w:val="0"/>
          <w:marRight w:val="0"/>
          <w:marTop w:val="0"/>
          <w:marBottom w:val="0"/>
          <w:divBdr>
            <w:top w:val="none" w:sz="0" w:space="0" w:color="auto"/>
            <w:left w:val="none" w:sz="0" w:space="0" w:color="auto"/>
            <w:bottom w:val="none" w:sz="0" w:space="0" w:color="auto"/>
            <w:right w:val="none" w:sz="0" w:space="0" w:color="auto"/>
          </w:divBdr>
        </w:div>
      </w:divsChild>
    </w:div>
    <w:div w:id="112793268">
      <w:bodyDiv w:val="1"/>
      <w:marLeft w:val="0"/>
      <w:marRight w:val="0"/>
      <w:marTop w:val="0"/>
      <w:marBottom w:val="0"/>
      <w:divBdr>
        <w:top w:val="none" w:sz="0" w:space="0" w:color="auto"/>
        <w:left w:val="none" w:sz="0" w:space="0" w:color="auto"/>
        <w:bottom w:val="none" w:sz="0" w:space="0" w:color="auto"/>
        <w:right w:val="none" w:sz="0" w:space="0" w:color="auto"/>
      </w:divBdr>
      <w:divsChild>
        <w:div w:id="1199318959">
          <w:marLeft w:val="0"/>
          <w:marRight w:val="0"/>
          <w:marTop w:val="0"/>
          <w:marBottom w:val="0"/>
          <w:divBdr>
            <w:top w:val="none" w:sz="0" w:space="0" w:color="auto"/>
            <w:left w:val="none" w:sz="0" w:space="0" w:color="auto"/>
            <w:bottom w:val="none" w:sz="0" w:space="0" w:color="auto"/>
            <w:right w:val="none" w:sz="0" w:space="0" w:color="auto"/>
          </w:divBdr>
        </w:div>
      </w:divsChild>
    </w:div>
    <w:div w:id="692220060">
      <w:bodyDiv w:val="1"/>
      <w:marLeft w:val="0"/>
      <w:marRight w:val="0"/>
      <w:marTop w:val="0"/>
      <w:marBottom w:val="0"/>
      <w:divBdr>
        <w:top w:val="none" w:sz="0" w:space="0" w:color="auto"/>
        <w:left w:val="none" w:sz="0" w:space="0" w:color="auto"/>
        <w:bottom w:val="none" w:sz="0" w:space="0" w:color="auto"/>
        <w:right w:val="none" w:sz="0" w:space="0" w:color="auto"/>
      </w:divBdr>
      <w:divsChild>
        <w:div w:id="1092972189">
          <w:marLeft w:val="0"/>
          <w:marRight w:val="0"/>
          <w:marTop w:val="0"/>
          <w:marBottom w:val="0"/>
          <w:divBdr>
            <w:top w:val="none" w:sz="0" w:space="0" w:color="auto"/>
            <w:left w:val="none" w:sz="0" w:space="0" w:color="auto"/>
            <w:bottom w:val="none" w:sz="0" w:space="0" w:color="auto"/>
            <w:right w:val="none" w:sz="0" w:space="0" w:color="auto"/>
          </w:divBdr>
        </w:div>
      </w:divsChild>
    </w:div>
    <w:div w:id="898443805">
      <w:bodyDiv w:val="1"/>
      <w:marLeft w:val="0"/>
      <w:marRight w:val="0"/>
      <w:marTop w:val="0"/>
      <w:marBottom w:val="0"/>
      <w:divBdr>
        <w:top w:val="none" w:sz="0" w:space="0" w:color="auto"/>
        <w:left w:val="none" w:sz="0" w:space="0" w:color="auto"/>
        <w:bottom w:val="none" w:sz="0" w:space="0" w:color="auto"/>
        <w:right w:val="none" w:sz="0" w:space="0" w:color="auto"/>
      </w:divBdr>
      <w:divsChild>
        <w:div w:id="1080760670">
          <w:marLeft w:val="0"/>
          <w:marRight w:val="0"/>
          <w:marTop w:val="0"/>
          <w:marBottom w:val="0"/>
          <w:divBdr>
            <w:top w:val="none" w:sz="0" w:space="0" w:color="auto"/>
            <w:left w:val="none" w:sz="0" w:space="0" w:color="auto"/>
            <w:bottom w:val="none" w:sz="0" w:space="0" w:color="auto"/>
            <w:right w:val="none" w:sz="0" w:space="0" w:color="auto"/>
          </w:divBdr>
        </w:div>
      </w:divsChild>
    </w:div>
    <w:div w:id="1014302871">
      <w:bodyDiv w:val="1"/>
      <w:marLeft w:val="0"/>
      <w:marRight w:val="0"/>
      <w:marTop w:val="0"/>
      <w:marBottom w:val="0"/>
      <w:divBdr>
        <w:top w:val="none" w:sz="0" w:space="0" w:color="auto"/>
        <w:left w:val="none" w:sz="0" w:space="0" w:color="auto"/>
        <w:bottom w:val="none" w:sz="0" w:space="0" w:color="auto"/>
        <w:right w:val="none" w:sz="0" w:space="0" w:color="auto"/>
      </w:divBdr>
      <w:divsChild>
        <w:div w:id="1930649905">
          <w:marLeft w:val="0"/>
          <w:marRight w:val="0"/>
          <w:marTop w:val="0"/>
          <w:marBottom w:val="0"/>
          <w:divBdr>
            <w:top w:val="none" w:sz="0" w:space="0" w:color="auto"/>
            <w:left w:val="none" w:sz="0" w:space="0" w:color="auto"/>
            <w:bottom w:val="none" w:sz="0" w:space="0" w:color="auto"/>
            <w:right w:val="none" w:sz="0" w:space="0" w:color="auto"/>
          </w:divBdr>
        </w:div>
      </w:divsChild>
    </w:div>
    <w:div w:id="1060789616">
      <w:bodyDiv w:val="1"/>
      <w:marLeft w:val="0"/>
      <w:marRight w:val="0"/>
      <w:marTop w:val="0"/>
      <w:marBottom w:val="0"/>
      <w:divBdr>
        <w:top w:val="none" w:sz="0" w:space="0" w:color="auto"/>
        <w:left w:val="none" w:sz="0" w:space="0" w:color="auto"/>
        <w:bottom w:val="none" w:sz="0" w:space="0" w:color="auto"/>
        <w:right w:val="none" w:sz="0" w:space="0" w:color="auto"/>
      </w:divBdr>
      <w:divsChild>
        <w:div w:id="2053381861">
          <w:marLeft w:val="0"/>
          <w:marRight w:val="0"/>
          <w:marTop w:val="0"/>
          <w:marBottom w:val="0"/>
          <w:divBdr>
            <w:top w:val="none" w:sz="0" w:space="0" w:color="auto"/>
            <w:left w:val="none" w:sz="0" w:space="0" w:color="auto"/>
            <w:bottom w:val="none" w:sz="0" w:space="0" w:color="auto"/>
            <w:right w:val="none" w:sz="0" w:space="0" w:color="auto"/>
          </w:divBdr>
        </w:div>
      </w:divsChild>
    </w:div>
    <w:div w:id="1067074538">
      <w:bodyDiv w:val="1"/>
      <w:marLeft w:val="0"/>
      <w:marRight w:val="0"/>
      <w:marTop w:val="0"/>
      <w:marBottom w:val="0"/>
      <w:divBdr>
        <w:top w:val="none" w:sz="0" w:space="0" w:color="auto"/>
        <w:left w:val="none" w:sz="0" w:space="0" w:color="auto"/>
        <w:bottom w:val="none" w:sz="0" w:space="0" w:color="auto"/>
        <w:right w:val="none" w:sz="0" w:space="0" w:color="auto"/>
      </w:divBdr>
      <w:divsChild>
        <w:div w:id="1029263928">
          <w:marLeft w:val="0"/>
          <w:marRight w:val="0"/>
          <w:marTop w:val="0"/>
          <w:marBottom w:val="0"/>
          <w:divBdr>
            <w:top w:val="none" w:sz="0" w:space="0" w:color="auto"/>
            <w:left w:val="none" w:sz="0" w:space="0" w:color="auto"/>
            <w:bottom w:val="none" w:sz="0" w:space="0" w:color="auto"/>
            <w:right w:val="none" w:sz="0" w:space="0" w:color="auto"/>
          </w:divBdr>
        </w:div>
      </w:divsChild>
    </w:div>
    <w:div w:id="1455176285">
      <w:bodyDiv w:val="1"/>
      <w:marLeft w:val="0"/>
      <w:marRight w:val="0"/>
      <w:marTop w:val="0"/>
      <w:marBottom w:val="0"/>
      <w:divBdr>
        <w:top w:val="none" w:sz="0" w:space="0" w:color="auto"/>
        <w:left w:val="none" w:sz="0" w:space="0" w:color="auto"/>
        <w:bottom w:val="none" w:sz="0" w:space="0" w:color="auto"/>
        <w:right w:val="none" w:sz="0" w:space="0" w:color="auto"/>
      </w:divBdr>
      <w:divsChild>
        <w:div w:id="1354844851">
          <w:marLeft w:val="0"/>
          <w:marRight w:val="0"/>
          <w:marTop w:val="0"/>
          <w:marBottom w:val="0"/>
          <w:divBdr>
            <w:top w:val="none" w:sz="0" w:space="0" w:color="auto"/>
            <w:left w:val="none" w:sz="0" w:space="0" w:color="auto"/>
            <w:bottom w:val="none" w:sz="0" w:space="0" w:color="auto"/>
            <w:right w:val="none" w:sz="0" w:space="0" w:color="auto"/>
          </w:divBdr>
        </w:div>
      </w:divsChild>
    </w:div>
    <w:div w:id="1591039895">
      <w:bodyDiv w:val="1"/>
      <w:marLeft w:val="0"/>
      <w:marRight w:val="0"/>
      <w:marTop w:val="0"/>
      <w:marBottom w:val="0"/>
      <w:divBdr>
        <w:top w:val="none" w:sz="0" w:space="0" w:color="auto"/>
        <w:left w:val="none" w:sz="0" w:space="0" w:color="auto"/>
        <w:bottom w:val="none" w:sz="0" w:space="0" w:color="auto"/>
        <w:right w:val="none" w:sz="0" w:space="0" w:color="auto"/>
      </w:divBdr>
      <w:divsChild>
        <w:div w:id="1800489264">
          <w:marLeft w:val="0"/>
          <w:marRight w:val="0"/>
          <w:marTop w:val="0"/>
          <w:marBottom w:val="0"/>
          <w:divBdr>
            <w:top w:val="none" w:sz="0" w:space="0" w:color="auto"/>
            <w:left w:val="none" w:sz="0" w:space="0" w:color="auto"/>
            <w:bottom w:val="none" w:sz="0" w:space="0" w:color="auto"/>
            <w:right w:val="none" w:sz="0" w:space="0" w:color="auto"/>
          </w:divBdr>
        </w:div>
      </w:divsChild>
    </w:div>
    <w:div w:id="1727682149">
      <w:bodyDiv w:val="1"/>
      <w:marLeft w:val="0"/>
      <w:marRight w:val="0"/>
      <w:marTop w:val="0"/>
      <w:marBottom w:val="0"/>
      <w:divBdr>
        <w:top w:val="none" w:sz="0" w:space="0" w:color="auto"/>
        <w:left w:val="none" w:sz="0" w:space="0" w:color="auto"/>
        <w:bottom w:val="none" w:sz="0" w:space="0" w:color="auto"/>
        <w:right w:val="none" w:sz="0" w:space="0" w:color="auto"/>
      </w:divBdr>
      <w:divsChild>
        <w:div w:id="1359969541">
          <w:marLeft w:val="0"/>
          <w:marRight w:val="0"/>
          <w:marTop w:val="0"/>
          <w:marBottom w:val="0"/>
          <w:divBdr>
            <w:top w:val="none" w:sz="0" w:space="0" w:color="auto"/>
            <w:left w:val="none" w:sz="0" w:space="0" w:color="auto"/>
            <w:bottom w:val="none" w:sz="0" w:space="0" w:color="auto"/>
            <w:right w:val="none" w:sz="0" w:space="0" w:color="auto"/>
          </w:divBdr>
        </w:div>
      </w:divsChild>
    </w:div>
    <w:div w:id="1877430710">
      <w:bodyDiv w:val="1"/>
      <w:marLeft w:val="0"/>
      <w:marRight w:val="0"/>
      <w:marTop w:val="0"/>
      <w:marBottom w:val="0"/>
      <w:divBdr>
        <w:top w:val="none" w:sz="0" w:space="0" w:color="auto"/>
        <w:left w:val="none" w:sz="0" w:space="0" w:color="auto"/>
        <w:bottom w:val="none" w:sz="0" w:space="0" w:color="auto"/>
        <w:right w:val="none" w:sz="0" w:space="0" w:color="auto"/>
      </w:divBdr>
      <w:divsChild>
        <w:div w:id="1572349330">
          <w:marLeft w:val="0"/>
          <w:marRight w:val="0"/>
          <w:marTop w:val="0"/>
          <w:marBottom w:val="0"/>
          <w:divBdr>
            <w:top w:val="none" w:sz="0" w:space="0" w:color="auto"/>
            <w:left w:val="none" w:sz="0" w:space="0" w:color="auto"/>
            <w:bottom w:val="none" w:sz="0" w:space="0" w:color="auto"/>
            <w:right w:val="none" w:sz="0" w:space="0" w:color="auto"/>
          </w:divBdr>
        </w:div>
      </w:divsChild>
    </w:div>
    <w:div w:id="2026402487">
      <w:bodyDiv w:val="1"/>
      <w:marLeft w:val="0"/>
      <w:marRight w:val="0"/>
      <w:marTop w:val="0"/>
      <w:marBottom w:val="0"/>
      <w:divBdr>
        <w:top w:val="none" w:sz="0" w:space="0" w:color="auto"/>
        <w:left w:val="none" w:sz="0" w:space="0" w:color="auto"/>
        <w:bottom w:val="none" w:sz="0" w:space="0" w:color="auto"/>
        <w:right w:val="none" w:sz="0" w:space="0" w:color="auto"/>
      </w:divBdr>
    </w:div>
    <w:div w:id="2049455337">
      <w:bodyDiv w:val="1"/>
      <w:marLeft w:val="0"/>
      <w:marRight w:val="0"/>
      <w:marTop w:val="0"/>
      <w:marBottom w:val="0"/>
      <w:divBdr>
        <w:top w:val="none" w:sz="0" w:space="0" w:color="auto"/>
        <w:left w:val="none" w:sz="0" w:space="0" w:color="auto"/>
        <w:bottom w:val="none" w:sz="0" w:space="0" w:color="auto"/>
        <w:right w:val="none" w:sz="0" w:space="0" w:color="auto"/>
      </w:divBdr>
      <w:divsChild>
        <w:div w:id="1394741632">
          <w:marLeft w:val="0"/>
          <w:marRight w:val="0"/>
          <w:marTop w:val="0"/>
          <w:marBottom w:val="0"/>
          <w:divBdr>
            <w:top w:val="none" w:sz="0" w:space="0" w:color="auto"/>
            <w:left w:val="none" w:sz="0" w:space="0" w:color="auto"/>
            <w:bottom w:val="none" w:sz="0" w:space="0" w:color="auto"/>
            <w:right w:val="none" w:sz="0" w:space="0" w:color="auto"/>
          </w:divBdr>
        </w:div>
      </w:divsChild>
    </w:div>
    <w:div w:id="2075934440">
      <w:bodyDiv w:val="1"/>
      <w:marLeft w:val="0"/>
      <w:marRight w:val="0"/>
      <w:marTop w:val="0"/>
      <w:marBottom w:val="0"/>
      <w:divBdr>
        <w:top w:val="none" w:sz="0" w:space="0" w:color="auto"/>
        <w:left w:val="none" w:sz="0" w:space="0" w:color="auto"/>
        <w:bottom w:val="none" w:sz="0" w:space="0" w:color="auto"/>
        <w:right w:val="none" w:sz="0" w:space="0" w:color="auto"/>
      </w:divBdr>
      <w:divsChild>
        <w:div w:id="38490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library.wiley.com/doi/10.1111/jep.138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ducation.psu.edu/bioet533/node/6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08/10/08/health/research/08drug.html" TargetMode="External"/><Relationship Id="rId5" Type="http://schemas.openxmlformats.org/officeDocument/2006/relationships/webSettings" Target="webSettings.xml"/><Relationship Id="rId15" Type="http://schemas.openxmlformats.org/officeDocument/2006/relationships/hyperlink" Target="https://www.health.nsw.gov.au/Infectious/covid-19/Documents/in-focus/covid-19-vaccination-case-surveillance-051121.pdf" TargetMode="External"/><Relationship Id="rId10" Type="http://schemas.openxmlformats.org/officeDocument/2006/relationships/hyperlink" Target="https://wherearethenumbers.substack.com/p/the-very-best-of-cheap-trick"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doi.org/10.1212%2FCPJ.0000000000000012" TargetMode="External"/><Relationship Id="rId14" Type="http://schemas.openxmlformats.org/officeDocument/2006/relationships/hyperlink" Target="https://www.ons.gov.uk/peoplepopulationandcommunity/birthsdeathsandmarriages/deaths/bulletins/covid19vaccineeffectivenessestimatedusingcensus2021variablesengland/31march2021to20march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35C281-36F5-E949-915D-F15218016227}">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8898-DAEA-0841-AE76-80A4DF33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5007</Words>
  <Characters>28541</Characters>
  <Application>Microsoft Office Word</Application>
  <DocSecurity>0</DocSecurity>
  <Lines>237</Lines>
  <Paragraphs>66</Paragraphs>
  <ScaleCrop>false</ScaleCrop>
  <Company/>
  <LinksUpToDate>false</LinksUpToDate>
  <CharactersWithSpaces>33482</CharactersWithSpaces>
  <SharedDoc>false</SharedDoc>
  <HLinks>
    <vt:vector size="42" baseType="variant">
      <vt:variant>
        <vt:i4>6815856</vt:i4>
      </vt:variant>
      <vt:variant>
        <vt:i4>18</vt:i4>
      </vt:variant>
      <vt:variant>
        <vt:i4>0</vt:i4>
      </vt:variant>
      <vt:variant>
        <vt:i4>5</vt:i4>
      </vt:variant>
      <vt:variant>
        <vt:lpwstr>https://www.health.nsw.gov.au/Infectious/covid-19/Documents/in-focus/covid-19-vaccination-case-surveillance-051121.pdf</vt:lpwstr>
      </vt:variant>
      <vt:variant>
        <vt:lpwstr/>
      </vt:variant>
      <vt:variant>
        <vt:i4>7864426</vt:i4>
      </vt:variant>
      <vt:variant>
        <vt:i4>15</vt:i4>
      </vt:variant>
      <vt:variant>
        <vt:i4>0</vt:i4>
      </vt:variant>
      <vt:variant>
        <vt:i4>5</vt:i4>
      </vt:variant>
      <vt:variant>
        <vt:lpwstr>https://www.ons.gov.uk/peoplepopulationandcommunity/birthsdeathsandmarriages/deaths/bulletins/covid19vaccineeffectivenessestimatedusingcensus2021variablesengland/31march2021to20march2022</vt:lpwstr>
      </vt:variant>
      <vt:variant>
        <vt:lpwstr/>
      </vt:variant>
      <vt:variant>
        <vt:i4>4325462</vt:i4>
      </vt:variant>
      <vt:variant>
        <vt:i4>12</vt:i4>
      </vt:variant>
      <vt:variant>
        <vt:i4>0</vt:i4>
      </vt:variant>
      <vt:variant>
        <vt:i4>5</vt:i4>
      </vt:variant>
      <vt:variant>
        <vt:lpwstr>https://onlinelibrary.wiley.com/doi/10.1111/jep.13839</vt:lpwstr>
      </vt:variant>
      <vt:variant>
        <vt:lpwstr/>
      </vt:variant>
      <vt:variant>
        <vt:i4>5963807</vt:i4>
      </vt:variant>
      <vt:variant>
        <vt:i4>9</vt:i4>
      </vt:variant>
      <vt:variant>
        <vt:i4>0</vt:i4>
      </vt:variant>
      <vt:variant>
        <vt:i4>5</vt:i4>
      </vt:variant>
      <vt:variant>
        <vt:lpwstr>https://www.e-education.psu.edu/bioet533/node/654</vt:lpwstr>
      </vt:variant>
      <vt:variant>
        <vt:lpwstr/>
      </vt:variant>
      <vt:variant>
        <vt:i4>2228269</vt:i4>
      </vt:variant>
      <vt:variant>
        <vt:i4>6</vt:i4>
      </vt:variant>
      <vt:variant>
        <vt:i4>0</vt:i4>
      </vt:variant>
      <vt:variant>
        <vt:i4>5</vt:i4>
      </vt:variant>
      <vt:variant>
        <vt:lpwstr>https://www.nytimes.com/2008/10/08/health/research/08drug.html</vt:lpwstr>
      </vt:variant>
      <vt:variant>
        <vt:lpwstr/>
      </vt:variant>
      <vt:variant>
        <vt:i4>3538995</vt:i4>
      </vt:variant>
      <vt:variant>
        <vt:i4>3</vt:i4>
      </vt:variant>
      <vt:variant>
        <vt:i4>0</vt:i4>
      </vt:variant>
      <vt:variant>
        <vt:i4>5</vt:i4>
      </vt:variant>
      <vt:variant>
        <vt:lpwstr>https://wherearethenumbers.substack.com/p/the-very-best-of-cheap-trick</vt:lpwstr>
      </vt:variant>
      <vt:variant>
        <vt:lpwstr/>
      </vt:variant>
      <vt:variant>
        <vt:i4>2228320</vt:i4>
      </vt:variant>
      <vt:variant>
        <vt:i4>0</vt:i4>
      </vt:variant>
      <vt:variant>
        <vt:i4>0</vt:i4>
      </vt:variant>
      <vt:variant>
        <vt:i4>5</vt:i4>
      </vt:variant>
      <vt:variant>
        <vt:lpwstr>https://doi.org/10.1212%2FCPJ.0000000000000012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McLachlan</dc:creator>
  <cp:keywords/>
  <dc:description/>
  <cp:lastModifiedBy>Martin Neil</cp:lastModifiedBy>
  <cp:revision>13</cp:revision>
  <dcterms:created xsi:type="dcterms:W3CDTF">2024-03-05T16:05:00Z</dcterms:created>
  <dcterms:modified xsi:type="dcterms:W3CDTF">2024-03-05T16:12:00Z</dcterms:modified>
</cp:coreProperties>
</file>