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0F7E" w:rsidRDefault="00600F7E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2" w14:textId="77777777" w:rsidR="00600F7E" w:rsidRDefault="003C03CC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Viral cultures for COVID-19 infectivity assessment – a systematic review</w:t>
      </w:r>
    </w:p>
    <w:p w14:paraId="00000003" w14:textId="77777777" w:rsidR="00600F7E" w:rsidRDefault="003C03CC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Jefferson T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; Spencer EA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; Brassey J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; Heneghan C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04" w14:textId="77777777" w:rsidR="00600F7E" w:rsidRDefault="00600F7E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0000005" w14:textId="77777777" w:rsidR="00600F7E" w:rsidRDefault="003C03C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References Web supplement W1-W29</w:t>
      </w:r>
    </w:p>
    <w:p w14:paraId="00000006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Ahn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JY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An S, Sohn Y, et al. Environmental contamination in the isolation rooms of COVID-19 patients with severe pneumonia requiring mechanical ventilation or high-flow oxygen therapy. Journal of Hospital Infection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10.1016/j.jhin.2020.08.014</w:t>
      </w:r>
    </w:p>
    <w:p w14:paraId="00000007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Andersson</w:t>
      </w:r>
      <w:proofErr w:type="spellEnd"/>
      <w:r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M</w:t>
      </w:r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Arancibia</w:t>
      </w:r>
      <w:proofErr w:type="spellEnd"/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- </w:t>
      </w:r>
      <w:proofErr w:type="spellStart"/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Carcamo</w:t>
      </w:r>
      <w:proofErr w:type="spellEnd"/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CV, Auckland K, et al.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SARS-CoV-2 RNA detected in blood samples from patients with COVID-19 is not associated with infectious virus.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medRxiv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2020:2020.05.21.20105486.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10.1101/2020.05.21.20105486</w:t>
      </w:r>
    </w:p>
    <w:p w14:paraId="00000008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Arons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MM,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Hatfield KM, Reddy SC, et al.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Presymptomatic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SARS-CoV-2 Infections and Transmission in a Skilled Nursing Facility. New England Journal of Medicine 2020;382(22):2081-90.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10.1056/NEJMoa2008457</w:t>
      </w:r>
    </w:p>
    <w:p w14:paraId="00000009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Basile K,</w:t>
      </w:r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McPhie</w:t>
      </w:r>
      <w:proofErr w:type="spellEnd"/>
      <w:r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K, Carter I, et al.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Cell-based culture of SARS-CoV-2 informs infectivity and safe de-isolation assessments during COVID-19.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medRxiv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2020:2020.07.14.20153981.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10.1101/2020.07.14.20153981</w:t>
      </w:r>
    </w:p>
    <w:p w14:paraId="0000000A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Brown CS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Clare K, Chand M, et al. Snapshot PCR surveillance for SARS-CoV-2 in hospital staff in England. Journal of Infection 2020;81(3):427-34.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10.1016/j.jinf.2020.06.069</w:t>
      </w:r>
    </w:p>
    <w:p w14:paraId="0000000B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Borczuk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Salvatore SP,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Seshan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SV, et al. COVID-19 pulmonary pathology: a multi-institutional autopsy cohort from Italy and New York City. Modern Pathology 2020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10.1038/s41379-020-00661-1</w:t>
      </w:r>
    </w:p>
    <w:p w14:paraId="0000000C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Bullard J,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Dust K, Funk D, et a</w:t>
      </w:r>
      <w:r>
        <w:rPr>
          <w:rFonts w:ascii="Arial" w:eastAsia="Arial" w:hAnsi="Arial" w:cs="Arial"/>
          <w:sz w:val="20"/>
          <w:szCs w:val="20"/>
        </w:rPr>
        <w:t xml:space="preserve">l. Predicting infectious SARS-CoV-2 from diagnostic samples. </w:t>
      </w:r>
      <w:proofErr w:type="spellStart"/>
      <w:r>
        <w:rPr>
          <w:rFonts w:ascii="Arial" w:eastAsia="Arial" w:hAnsi="Arial" w:cs="Arial"/>
          <w:sz w:val="20"/>
          <w:szCs w:val="20"/>
        </w:rPr>
        <w:t>Clin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Infect Dis. 2020 May 22:ciaa638. </w:t>
      </w:r>
      <w:proofErr w:type="spellStart"/>
      <w:r>
        <w:rPr>
          <w:rFonts w:ascii="Arial" w:eastAsia="Arial" w:hAnsi="Arial" w:cs="Arial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sz w:val="20"/>
          <w:szCs w:val="20"/>
        </w:rPr>
        <w:t>: 10.1093/</w:t>
      </w:r>
      <w:proofErr w:type="spellStart"/>
      <w:r>
        <w:rPr>
          <w:rFonts w:ascii="Arial" w:eastAsia="Arial" w:hAnsi="Arial" w:cs="Arial"/>
          <w:sz w:val="20"/>
          <w:szCs w:val="20"/>
        </w:rPr>
        <w:t>cid</w:t>
      </w:r>
      <w:proofErr w:type="spellEnd"/>
      <w:r>
        <w:rPr>
          <w:rFonts w:ascii="Arial" w:eastAsia="Arial" w:hAnsi="Arial" w:cs="Arial"/>
          <w:sz w:val="20"/>
          <w:szCs w:val="20"/>
        </w:rPr>
        <w:t>/ciaa638.</w:t>
      </w:r>
    </w:p>
    <w:p w14:paraId="0000000D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Gniazdowski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</w:t>
      </w:r>
      <w:r>
        <w:rPr>
          <w:rFonts w:ascii="Arial" w:eastAsia="Arial" w:hAnsi="Arial" w:cs="Arial"/>
          <w:color w:val="000000"/>
          <w:sz w:val="20"/>
          <w:szCs w:val="20"/>
        </w:rPr>
        <w:t>, Morris CP, Wohl S, et al. Repeat COVID-19 Molecular Testing: Correlation with Recovery of Infectious Virus, Molecular Assay Cycle Thresholds, and Analytical</w:t>
      </w:r>
    </w:p>
    <w:p w14:paraId="0000000E" w14:textId="77777777" w:rsidR="00600F7E" w:rsidRDefault="003C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Huang C-G,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Lee K-M, Hsiao M-J, et al. Culture-Based Virus Isolation To Evaluate Potential Infectivity of Clinical Specimens Tested for COVID-19. J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Clin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Microbiol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2020;58(8):e01068-20.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10.1128/jcm.01068-20</w:t>
      </w:r>
    </w:p>
    <w:p w14:paraId="0000000F" w14:textId="3978415D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1323">
        <w:rPr>
          <w:rFonts w:ascii="Arial" w:eastAsia="Arial" w:hAnsi="Arial" w:cs="Arial"/>
          <w:b/>
          <w:color w:val="000000"/>
          <w:sz w:val="20"/>
          <w:szCs w:val="20"/>
        </w:rPr>
        <w:t>J</w:t>
      </w:r>
      <w:r w:rsidR="003C03CC" w:rsidRPr="00F01323">
        <w:rPr>
          <w:rFonts w:ascii="Arial" w:eastAsia="Arial" w:hAnsi="Arial" w:cs="Arial"/>
          <w:b/>
          <w:color w:val="000000"/>
          <w:sz w:val="20"/>
          <w:szCs w:val="20"/>
        </w:rPr>
        <w:t>eo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ng</w:t>
      </w:r>
      <w:proofErr w:type="spellEnd"/>
      <w:r w:rsidR="003C03CC">
        <w:rPr>
          <w:rFonts w:ascii="Arial" w:eastAsia="Arial" w:hAnsi="Arial" w:cs="Arial"/>
          <w:b/>
          <w:color w:val="000000"/>
          <w:sz w:val="20"/>
          <w:szCs w:val="20"/>
        </w:rPr>
        <w:t xml:space="preserve"> HW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, Kim S-M, Kim H-S, et al. Viable SARS-CoV-2 in various specimens from COVID-19 patients.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Clin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Microbiol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Infect 2020:S1198-743X(20)30427-4.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10.1016/j.cmi.2020.07.020</w:t>
      </w:r>
    </w:p>
    <w:p w14:paraId="00000010" w14:textId="17191CF3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K</w:t>
      </w:r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im</w:t>
      </w:r>
      <w:proofErr w:type="spellEnd"/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JA-O</w:t>
      </w:r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Kim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HA-O, Lee EA-O, et al. </w:t>
      </w:r>
      <w:r w:rsidR="003C03CC">
        <w:rPr>
          <w:rFonts w:ascii="Arial" w:eastAsia="Arial" w:hAnsi="Arial" w:cs="Arial"/>
          <w:color w:val="000000"/>
          <w:sz w:val="20"/>
          <w:szCs w:val="20"/>
        </w:rPr>
        <w:t>Detection and Isolation of SARS-CoV-2 in Serum, Urine, and Stool Specimens of COVID-19 Patients from the Republic of Korea. (2210-9099 (Print))</w:t>
      </w:r>
    </w:p>
    <w:p w14:paraId="00000011" w14:textId="7CBDC41A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orean CDC: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Prevention.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KCfDCa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. Findings from investigation and analysis of re-positive </w:t>
      </w:r>
      <w:r w:rsidR="003C03CC">
        <w:rPr>
          <w:rFonts w:ascii="Arial" w:eastAsia="Arial" w:hAnsi="Arial" w:cs="Arial"/>
          <w:sz w:val="20"/>
          <w:szCs w:val="20"/>
        </w:rPr>
        <w:t>cases” 2020-05-19 ~ 2020-12-31. https://www.cdc.go.kr/board/board.es?mid=&amp;bid=0030&amp;act=view&amp;list_no=367267&amp;nPage=1</w:t>
      </w:r>
    </w:p>
    <w:p w14:paraId="00000012" w14:textId="20BEED22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ujawski</w:t>
      </w:r>
      <w:proofErr w:type="spellEnd"/>
      <w:r w:rsidR="003C03CC">
        <w:rPr>
          <w:rFonts w:ascii="Arial" w:eastAsia="Arial" w:hAnsi="Arial" w:cs="Arial"/>
          <w:b/>
          <w:color w:val="000000"/>
          <w:sz w:val="20"/>
          <w:szCs w:val="20"/>
        </w:rPr>
        <w:t xml:space="preserve"> SA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, Wong KK, Collins JP, et al. Clinical and virologic characteristics of the first 12 patients with coronavirus disease 2019 (COVID-19) in the United States. Nature Medicine 2020;26(6):861-68.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10.1038/s41591-020-0877-5</w:t>
      </w:r>
    </w:p>
    <w:p w14:paraId="00000013" w14:textId="579BFCCE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L</w:t>
      </w:r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’</w:t>
      </w:r>
      <w:proofErr w:type="spellStart"/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Huillier</w:t>
      </w:r>
      <w:proofErr w:type="spellEnd"/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A</w:t>
      </w:r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Torriani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G,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Pigny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F, et al. 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Culture-Competent SARS-CoV-2 in Nasopharynx of Symptomatic Neonates, Children, and Adolescents. Emerging Infectious Disease journal 2020;26(10)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10.3201/eid2610.202403</w:t>
      </w:r>
    </w:p>
    <w:p w14:paraId="00000015" w14:textId="3761875F" w:rsidR="00600F7E" w:rsidRPr="00791701" w:rsidRDefault="00C076E9" w:rsidP="0079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L</w:t>
      </w:r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a Scola B,</w:t>
      </w:r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Le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Bideau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M, Andreani J, et al. 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Viral RNA load as determined by cell culture as a management tool for discharge of SARS-CoV-2 patients from infectious disease wards.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Eur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J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Clin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Microbiol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Infect Dis 2020;39(6):1059-61.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10.1007/s10096-020-03913-9 [published Online First: 2020/04/27]</w:t>
      </w:r>
      <w:r w:rsidR="003C03CC">
        <w:rPr>
          <w:rFonts w:ascii="Arial" w:eastAsia="Arial" w:hAnsi="Arial" w:cs="Arial"/>
          <w:sz w:val="20"/>
          <w:szCs w:val="20"/>
        </w:rPr>
        <w:t xml:space="preserve">; 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791701">
        <w:rPr>
          <w:rFonts w:ascii="Arial" w:eastAsia="Arial" w:hAnsi="Arial" w:cs="Arial"/>
          <w:color w:val="000000"/>
          <w:sz w:val="20"/>
          <w:szCs w:val="20"/>
        </w:rPr>
        <w:t xml:space="preserve">secondary publication: </w:t>
      </w:r>
      <w:proofErr w:type="spellStart"/>
      <w:r w:rsidR="003C03CC" w:rsidRPr="00791701">
        <w:rPr>
          <w:rFonts w:ascii="Arial" w:eastAsia="Arial" w:hAnsi="Arial" w:cs="Arial"/>
          <w:sz w:val="20"/>
          <w:szCs w:val="20"/>
        </w:rPr>
        <w:t>Jaafar</w:t>
      </w:r>
      <w:proofErr w:type="spellEnd"/>
      <w:r w:rsidR="003C03CC" w:rsidRPr="00791701">
        <w:rPr>
          <w:rFonts w:ascii="Arial" w:eastAsia="Arial" w:hAnsi="Arial" w:cs="Arial"/>
          <w:sz w:val="20"/>
          <w:szCs w:val="20"/>
        </w:rPr>
        <w:t xml:space="preserve"> R, </w:t>
      </w:r>
      <w:proofErr w:type="spellStart"/>
      <w:r w:rsidR="003C03CC" w:rsidRPr="00791701">
        <w:rPr>
          <w:rFonts w:ascii="Arial" w:eastAsia="Arial" w:hAnsi="Arial" w:cs="Arial"/>
          <w:sz w:val="20"/>
          <w:szCs w:val="20"/>
        </w:rPr>
        <w:t>Aherfi</w:t>
      </w:r>
      <w:proofErr w:type="spellEnd"/>
      <w:r w:rsidR="003C03CC" w:rsidRPr="00791701">
        <w:rPr>
          <w:rFonts w:ascii="Arial" w:eastAsia="Arial" w:hAnsi="Arial" w:cs="Arial"/>
          <w:sz w:val="20"/>
          <w:szCs w:val="20"/>
        </w:rPr>
        <w:t xml:space="preserve"> S, </w:t>
      </w:r>
      <w:proofErr w:type="spellStart"/>
      <w:r w:rsidR="003C03CC" w:rsidRPr="00791701">
        <w:rPr>
          <w:rFonts w:ascii="Arial" w:eastAsia="Arial" w:hAnsi="Arial" w:cs="Arial"/>
          <w:sz w:val="20"/>
          <w:szCs w:val="20"/>
        </w:rPr>
        <w:t>Wurtz</w:t>
      </w:r>
      <w:proofErr w:type="spellEnd"/>
      <w:r w:rsidR="003C03CC" w:rsidRPr="00791701">
        <w:rPr>
          <w:rFonts w:ascii="Arial" w:eastAsia="Arial" w:hAnsi="Arial" w:cs="Arial"/>
          <w:sz w:val="20"/>
          <w:szCs w:val="20"/>
        </w:rPr>
        <w:t xml:space="preserve"> N, </w:t>
      </w:r>
      <w:proofErr w:type="spellStart"/>
      <w:r w:rsidR="003C03CC" w:rsidRPr="00791701">
        <w:rPr>
          <w:rFonts w:ascii="Arial" w:eastAsia="Arial" w:hAnsi="Arial" w:cs="Arial"/>
          <w:sz w:val="20"/>
          <w:szCs w:val="20"/>
        </w:rPr>
        <w:t>Grimaldier</w:t>
      </w:r>
      <w:proofErr w:type="spellEnd"/>
      <w:r w:rsidR="003C03CC" w:rsidRPr="00791701">
        <w:rPr>
          <w:rFonts w:ascii="Arial" w:eastAsia="Arial" w:hAnsi="Arial" w:cs="Arial"/>
          <w:sz w:val="20"/>
          <w:szCs w:val="20"/>
        </w:rPr>
        <w:t xml:space="preserve"> C, Hoang VT, Colson P, et al. Correlation between 3790 qPCR positives samples and positive cell cultures including 1941 SARS-CoV-2 isolates. Clinical Infectious Diseases. 2020.</w:t>
      </w:r>
    </w:p>
    <w:p w14:paraId="00000016" w14:textId="07D4E51C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adhani</w:t>
      </w:r>
      <w:proofErr w:type="spellEnd"/>
      <w:r w:rsidR="003C03CC">
        <w:rPr>
          <w:rFonts w:ascii="Arial" w:eastAsia="Arial" w:hAnsi="Arial" w:cs="Arial"/>
          <w:b/>
          <w:color w:val="000000"/>
          <w:sz w:val="20"/>
          <w:szCs w:val="20"/>
        </w:rPr>
        <w:t xml:space="preserve"> SN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, Chow JY,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Janarthanan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R, et al. Investigation of SARS-CoV-2 outbreaks in six care homes in London, April 2020.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EClinicalMedicine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10.1016/j.eclinm.2020.100533</w:t>
      </w:r>
    </w:p>
    <w:p w14:paraId="00000017" w14:textId="3E66C65E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L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u J,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Peng J,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Xiong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Q, et al. Clinical, immunological and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virological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characterization of COVID-19 patients that test re-positive for SARS-CoV-2 by RT-PCR.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EBioMedicine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2020;59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10.1016/j.ebiom.2020.102960</w:t>
      </w:r>
    </w:p>
    <w:p w14:paraId="00000018" w14:textId="73EACE8C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P</w:t>
      </w:r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erera</w:t>
      </w:r>
      <w:proofErr w:type="spellEnd"/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RAPM</w:t>
      </w:r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Tso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E,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Tsang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OTY, et al. 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SARS-CoV-2 Virus Culture and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Subgenomic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RNA for Respiratory Specimens from Patients with Mild Coronavirus Disease. Emerging Infectious Disease journal 2020;26(11)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10.3201/eid2611.203219</w:t>
      </w:r>
    </w:p>
    <w:p w14:paraId="00000019" w14:textId="1202BB7C" w:rsidR="00600F7E" w:rsidRPr="00791701" w:rsidRDefault="00C076E9" w:rsidP="0079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ian Q,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Fan L, Liu W, et al. Direct evidence of active SARS-CoV-2 replication in the intestine. Clinical Infectious Diseases </w:t>
      </w:r>
      <w:r w:rsidR="003C03CC" w:rsidRPr="00791701">
        <w:rPr>
          <w:rFonts w:ascii="Arial" w:eastAsia="Arial" w:hAnsi="Arial" w:cs="Arial"/>
          <w:color w:val="000000"/>
          <w:sz w:val="20"/>
          <w:szCs w:val="20"/>
        </w:rPr>
        <w:t xml:space="preserve">2020;395(10223):497-506. </w:t>
      </w:r>
      <w:proofErr w:type="spellStart"/>
      <w:r w:rsidR="003C03CC" w:rsidRPr="00791701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 w:rsidRPr="00791701">
        <w:rPr>
          <w:rFonts w:ascii="Arial" w:eastAsia="Arial" w:hAnsi="Arial" w:cs="Arial"/>
          <w:color w:val="000000"/>
          <w:sz w:val="20"/>
          <w:szCs w:val="20"/>
        </w:rPr>
        <w:t>: 10.1016/S0140-6736(20)30183-5</w:t>
      </w:r>
    </w:p>
    <w:p w14:paraId="0000001A" w14:textId="0DDF49CF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S</w:t>
      </w:r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antarpia</w:t>
      </w:r>
      <w:proofErr w:type="spellEnd"/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JL</w:t>
      </w:r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Rivera DN, Herrera V, et al. 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Aerosol and Surface Transmission Potential of SARS-CoV-2.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medRxiv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2020:2020.03.23.20039446.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10.1101/2020.03.23.20039446</w:t>
      </w:r>
    </w:p>
    <w:p w14:paraId="0000001B" w14:textId="4A1F41CC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inganayagam</w:t>
      </w:r>
      <w:proofErr w:type="spellEnd"/>
      <w:r w:rsidR="003C03CC">
        <w:rPr>
          <w:rFonts w:ascii="Arial" w:eastAsia="Arial" w:hAnsi="Arial" w:cs="Arial"/>
          <w:b/>
          <w:color w:val="000000"/>
          <w:sz w:val="20"/>
          <w:szCs w:val="20"/>
        </w:rPr>
        <w:t xml:space="preserve"> A,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Patel M,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Charlett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A, et al. Duration of infectiousness and correlation with RT-PCR cycle threshold values in cases of COVID-19, England, January to May 2020.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Eurosurveillance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2020;25(32):2001483.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doi:https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://doi.org/10.2807/1560-7917.ES.2020.25.32.2001483</w:t>
      </w:r>
    </w:p>
    <w:p w14:paraId="0000001C" w14:textId="2C2C0068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ang W</w:t>
      </w:r>
      <w:r w:rsidR="003C03CC">
        <w:rPr>
          <w:rFonts w:ascii="Arial" w:eastAsia="Arial" w:hAnsi="Arial" w:cs="Arial"/>
          <w:color w:val="000000"/>
          <w:sz w:val="20"/>
          <w:szCs w:val="20"/>
        </w:rPr>
        <w:t>, Xu Y, Gao R, et al. Detection of SARS-CoV-2 in Different Types of Clinical Specimens.</w:t>
      </w:r>
      <w:r w:rsidR="003C03CC">
        <w:rPr>
          <w:rFonts w:ascii="Arial" w:eastAsia="Arial" w:hAnsi="Arial" w:cs="Arial"/>
          <w:color w:val="303030"/>
          <w:sz w:val="20"/>
          <w:szCs w:val="20"/>
          <w:highlight w:val="white"/>
        </w:rPr>
        <w:t xml:space="preserve"> </w:t>
      </w:r>
      <w:r w:rsidR="003C03CC">
        <w:rPr>
          <w:rFonts w:ascii="Arial" w:eastAsia="Arial" w:hAnsi="Arial" w:cs="Arial"/>
          <w:i/>
          <w:color w:val="303030"/>
          <w:sz w:val="20"/>
          <w:szCs w:val="20"/>
          <w:highlight w:val="white"/>
        </w:rPr>
        <w:t>JAMA</w:t>
      </w:r>
      <w:r w:rsidR="003C03CC">
        <w:rPr>
          <w:rFonts w:ascii="Arial" w:eastAsia="Arial" w:hAnsi="Arial" w:cs="Arial"/>
          <w:color w:val="303030"/>
          <w:sz w:val="20"/>
          <w:szCs w:val="20"/>
          <w:highlight w:val="white"/>
        </w:rPr>
        <w:t>. 2020;323(18):1843-1844. doi:10.1001/jama.2020.3786</w:t>
      </w:r>
    </w:p>
    <w:p w14:paraId="0000001D" w14:textId="2F1872B2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W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ölfel</w:t>
      </w:r>
      <w:proofErr w:type="spellEnd"/>
      <w:r w:rsidR="003C03CC">
        <w:rPr>
          <w:rFonts w:ascii="Arial" w:eastAsia="Arial" w:hAnsi="Arial" w:cs="Arial"/>
          <w:b/>
          <w:color w:val="000000"/>
          <w:sz w:val="20"/>
          <w:szCs w:val="20"/>
        </w:rPr>
        <w:t xml:space="preserve"> R,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Corman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VM,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Guggemos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W, et al.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Virological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assessment of hospitalized patients with COVID-2019. Nature 2020;581(7809):465-69.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10.1038/s41586-020-2196-x</w:t>
      </w:r>
    </w:p>
    <w:p w14:paraId="0000001E" w14:textId="57F4D321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X</w:t>
      </w:r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iao</w:t>
      </w:r>
      <w:proofErr w:type="spellEnd"/>
      <w:r w:rsidR="003C03CC" w:rsidRPr="00C076E9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 xml:space="preserve"> F SJ,</w:t>
      </w:r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>Xu</w:t>
      </w:r>
      <w:proofErr w:type="spellEnd"/>
      <w:r w:rsidR="003C03CC" w:rsidRPr="00C076E9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Y, Li F  et al. 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Infectious SARS-CoV-2 in feces of patient with severe COVID-19. 2020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https://doi.org/10.3201/eid2608.200681</w:t>
      </w:r>
    </w:p>
    <w:p w14:paraId="0000001F" w14:textId="113E3977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X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iao F,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Tang M, Zheng X, et al. Evidence for Gastrointestinal Infection of SARS-CoV-2. </w:t>
      </w:r>
      <w:r w:rsidR="003C03CC">
        <w:rPr>
          <w:rFonts w:ascii="Arial" w:eastAsia="Arial" w:hAnsi="Arial" w:cs="Arial"/>
          <w:color w:val="303030"/>
          <w:sz w:val="20"/>
          <w:szCs w:val="20"/>
          <w:highlight w:val="white"/>
        </w:rPr>
        <w:t xml:space="preserve">Xiao F, Tang M, Zheng X, Liu Y, Li X, Shan H. Evidence for Gastrointestinal Infection of SARS-CoV-2. </w:t>
      </w:r>
      <w:r w:rsidR="003C03CC">
        <w:rPr>
          <w:rFonts w:ascii="Arial" w:eastAsia="Arial" w:hAnsi="Arial" w:cs="Arial"/>
          <w:i/>
          <w:color w:val="303030"/>
          <w:sz w:val="20"/>
          <w:szCs w:val="20"/>
          <w:highlight w:val="white"/>
        </w:rPr>
        <w:t>Gastroenterology</w:t>
      </w:r>
      <w:r w:rsidR="003C03CC">
        <w:rPr>
          <w:rFonts w:ascii="Arial" w:eastAsia="Arial" w:hAnsi="Arial" w:cs="Arial"/>
          <w:color w:val="303030"/>
          <w:sz w:val="20"/>
          <w:szCs w:val="20"/>
          <w:highlight w:val="white"/>
        </w:rPr>
        <w:t>. 2020;158(6):1831-1833.e3. doi:10.1053/j.gastro.2020.02.055</w:t>
      </w:r>
    </w:p>
    <w:p w14:paraId="00000020" w14:textId="79EB9FD7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ao H,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Lu X, Chen Q, et al. Patient-derived mutations impact pathogenicity of SARS-CoV-2.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medRxiv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2020:2020.04.14.20060160.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10.1101/2020.04.14.20060160</w:t>
      </w:r>
      <w:r w:rsidR="003C03CC" w:rsidRPr="00F01323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21" w14:textId="6654893B" w:rsidR="00600F7E" w:rsidRDefault="00C07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25"/>
          <w:tab w:val="right" w:pos="13860"/>
        </w:tabs>
        <w:spacing w:line="276" w:lineRule="auto"/>
        <w:ind w:hanging="3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oung BE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, Ong SWX, Ng LFP, et al. Viral dynamics and immune correlates of COVID-19 disease severity. Clinical Infectious Diseases 2020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10.1093/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cid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/ciaa1280</w:t>
      </w:r>
    </w:p>
    <w:p w14:paraId="00000022" w14:textId="54217A05" w:rsidR="00600F7E" w:rsidRDefault="00C076E9">
      <w:pPr>
        <w:numPr>
          <w:ilvl w:val="0"/>
          <w:numId w:val="1"/>
        </w:numPr>
        <w:tabs>
          <w:tab w:val="center" w:pos="1125"/>
          <w:tab w:val="right" w:pos="13860"/>
        </w:tabs>
        <w:spacing w:after="120" w:line="276" w:lineRule="auto"/>
        <w:ind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C03CC">
        <w:rPr>
          <w:rFonts w:ascii="Arial" w:eastAsia="Arial" w:hAnsi="Arial" w:cs="Arial"/>
          <w:b/>
          <w:sz w:val="20"/>
          <w:szCs w:val="20"/>
        </w:rPr>
        <w:t>hang Y,</w:t>
      </w:r>
      <w:r w:rsidR="003C03CC">
        <w:rPr>
          <w:rFonts w:ascii="Arial" w:eastAsia="Arial" w:hAnsi="Arial" w:cs="Arial"/>
          <w:sz w:val="20"/>
          <w:szCs w:val="20"/>
        </w:rPr>
        <w:t xml:space="preserve"> Cao C, </w:t>
      </w:r>
      <w:proofErr w:type="spellStart"/>
      <w:r w:rsidR="003C03CC">
        <w:rPr>
          <w:rFonts w:ascii="Arial" w:eastAsia="Arial" w:hAnsi="Arial" w:cs="Arial"/>
          <w:sz w:val="20"/>
          <w:szCs w:val="20"/>
        </w:rPr>
        <w:t>Shuangli</w:t>
      </w:r>
      <w:proofErr w:type="spellEnd"/>
      <w:r w:rsidR="003C03CC">
        <w:rPr>
          <w:rFonts w:ascii="Arial" w:eastAsia="Arial" w:hAnsi="Arial" w:cs="Arial"/>
          <w:sz w:val="20"/>
          <w:szCs w:val="20"/>
        </w:rPr>
        <w:t xml:space="preserve"> Z, et al. Isolation of 2019-nCoV from a Stool Specimen of a Laboratory-Confirmed Case of the Coronavirus Disease 2019 (COVID-19). China CDC Weekly 2020;2(8):123-24. </w:t>
      </w:r>
      <w:proofErr w:type="spellStart"/>
      <w:r w:rsidR="003C03CC">
        <w:rPr>
          <w:rFonts w:ascii="Arial" w:eastAsia="Arial" w:hAnsi="Arial" w:cs="Arial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sz w:val="20"/>
          <w:szCs w:val="20"/>
        </w:rPr>
        <w:t>: 10.46234/ccdcw2020.</w:t>
      </w:r>
    </w:p>
    <w:p w14:paraId="00000023" w14:textId="2352E6A3" w:rsidR="00600F7E" w:rsidRDefault="00C076E9">
      <w:pPr>
        <w:numPr>
          <w:ilvl w:val="0"/>
          <w:numId w:val="1"/>
        </w:numPr>
        <w:tabs>
          <w:tab w:val="center" w:pos="1125"/>
          <w:tab w:val="right" w:pos="13860"/>
        </w:tabs>
        <w:spacing w:after="120" w:line="276" w:lineRule="auto"/>
        <w:ind w:hanging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</w:t>
      </w:r>
      <w:r w:rsidR="003C03CC">
        <w:rPr>
          <w:rFonts w:ascii="Arial" w:eastAsia="Arial" w:hAnsi="Arial" w:cs="Arial"/>
          <w:b/>
          <w:color w:val="000000"/>
          <w:sz w:val="20"/>
          <w:szCs w:val="20"/>
        </w:rPr>
        <w:t>hou J,</w:t>
      </w:r>
      <w:r w:rsidR="003C03CC">
        <w:rPr>
          <w:rFonts w:ascii="Arial" w:eastAsia="Arial" w:hAnsi="Arial" w:cs="Arial"/>
          <w:color w:val="000000"/>
          <w:sz w:val="20"/>
          <w:szCs w:val="20"/>
        </w:rPr>
        <w:t xml:space="preserve"> Otter JA, Price JR, et al. Investigating SARS-CoV-2 surface and air contamination in an acute healthcare setting during the peak of the COVID-19 pandemic in London. Clinical Infectious Diseases 2020 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doi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: 10.1093/</w:t>
      </w:r>
      <w:proofErr w:type="spellStart"/>
      <w:r w:rsidR="003C03CC">
        <w:rPr>
          <w:rFonts w:ascii="Arial" w:eastAsia="Arial" w:hAnsi="Arial" w:cs="Arial"/>
          <w:color w:val="000000"/>
          <w:sz w:val="20"/>
          <w:szCs w:val="20"/>
        </w:rPr>
        <w:t>cid</w:t>
      </w:r>
      <w:proofErr w:type="spellEnd"/>
      <w:r w:rsidR="003C03CC">
        <w:rPr>
          <w:rFonts w:ascii="Arial" w:eastAsia="Arial" w:hAnsi="Arial" w:cs="Arial"/>
          <w:color w:val="000000"/>
          <w:sz w:val="20"/>
          <w:szCs w:val="20"/>
        </w:rPr>
        <w:t>/ciaa905</w:t>
      </w:r>
    </w:p>
    <w:p w14:paraId="00000024" w14:textId="77777777" w:rsidR="00600F7E" w:rsidRDefault="003C03CC">
      <w:pPr>
        <w:tabs>
          <w:tab w:val="center" w:pos="4320"/>
          <w:tab w:val="right" w:pos="13860"/>
        </w:tabs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 </w:t>
      </w:r>
    </w:p>
    <w:p w14:paraId="00000025" w14:textId="77777777" w:rsidR="00600F7E" w:rsidRDefault="00600F7E">
      <w:pPr>
        <w:tabs>
          <w:tab w:val="center" w:pos="4320"/>
          <w:tab w:val="right" w:pos="13860"/>
        </w:tabs>
        <w:spacing w:after="120"/>
        <w:ind w:left="720"/>
        <w:rPr>
          <w:rFonts w:ascii="Arial" w:eastAsia="Arial" w:hAnsi="Arial" w:cs="Arial"/>
          <w:sz w:val="20"/>
          <w:szCs w:val="20"/>
        </w:rPr>
      </w:pPr>
    </w:p>
    <w:sectPr w:rsidR="00600F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A883" w14:textId="77777777" w:rsidR="00A00C38" w:rsidRDefault="00A00C38">
      <w:r>
        <w:separator/>
      </w:r>
    </w:p>
  </w:endnote>
  <w:endnote w:type="continuationSeparator" w:id="0">
    <w:p w14:paraId="6089CDDF" w14:textId="77777777" w:rsidR="00A00C38" w:rsidRDefault="00A0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2E6A1E28" w:rsidR="00600F7E" w:rsidRPr="00B14C19" w:rsidRDefault="00600F7E" w:rsidP="00B14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  <w:p w14:paraId="0000002A" w14:textId="77777777" w:rsidR="00600F7E" w:rsidRDefault="00600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D78E" w14:textId="77777777" w:rsidR="00A00C38" w:rsidRDefault="00A00C38">
      <w:r>
        <w:separator/>
      </w:r>
    </w:p>
  </w:footnote>
  <w:footnote w:type="continuationSeparator" w:id="0">
    <w:p w14:paraId="16F13BEC" w14:textId="77777777" w:rsidR="00A00C38" w:rsidRDefault="00A0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600F7E" w:rsidRDefault="003C03CC">
    <w:pPr>
      <w:pBdr>
        <w:top w:val="nil"/>
        <w:left w:val="nil"/>
        <w:bottom w:val="nil"/>
        <w:right w:val="nil"/>
        <w:between w:val="nil"/>
      </w:pBdr>
      <w:spacing w:before="600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Viral cultures for COVID-19 infectivity assessment – a systematic review</w:t>
    </w:r>
  </w:p>
  <w:p w14:paraId="00000027" w14:textId="6B4B4DC9" w:rsidR="00600F7E" w:rsidRDefault="003C03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         </w:t>
    </w:r>
    <w:r w:rsidR="00B14C19">
      <w:rPr>
        <w:rFonts w:ascii="Arial" w:eastAsia="Arial" w:hAnsi="Arial" w:cs="Arial"/>
        <w:color w:val="666666"/>
        <w:sz w:val="16"/>
        <w:szCs w:val="16"/>
      </w:rPr>
      <w:t>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9A3"/>
    <w:multiLevelType w:val="multilevel"/>
    <w:tmpl w:val="F27059EE"/>
    <w:lvl w:ilvl="0">
      <w:start w:val="1"/>
      <w:numFmt w:val="decimal"/>
      <w:lvlText w:val="W%1."/>
      <w:lvlJc w:val="left"/>
      <w:pPr>
        <w:ind w:left="941" w:hanging="374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E"/>
    <w:rsid w:val="00186D1D"/>
    <w:rsid w:val="003C03CC"/>
    <w:rsid w:val="004433FA"/>
    <w:rsid w:val="005148AF"/>
    <w:rsid w:val="005243B0"/>
    <w:rsid w:val="00600F7E"/>
    <w:rsid w:val="00791701"/>
    <w:rsid w:val="008276A0"/>
    <w:rsid w:val="00A00C38"/>
    <w:rsid w:val="00B14C19"/>
    <w:rsid w:val="00C076E9"/>
    <w:rsid w:val="00C370FF"/>
    <w:rsid w:val="00CC518D"/>
    <w:rsid w:val="00E06071"/>
    <w:rsid w:val="00ED460E"/>
    <w:rsid w:val="00F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2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4C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C19"/>
  </w:style>
  <w:style w:type="paragraph" w:styleId="Pidipagina">
    <w:name w:val="footer"/>
    <w:basedOn w:val="Normale"/>
    <w:link w:val="PidipaginaCarattere"/>
    <w:uiPriority w:val="99"/>
    <w:unhideWhenUsed/>
    <w:rsid w:val="00B14C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4C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C19"/>
  </w:style>
  <w:style w:type="paragraph" w:styleId="Pidipagina">
    <w:name w:val="footer"/>
    <w:basedOn w:val="Normale"/>
    <w:link w:val="PidipaginaCarattere"/>
    <w:uiPriority w:val="99"/>
    <w:unhideWhenUsed/>
    <w:rsid w:val="00B14C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2020-10-28T14:14:00Z</dcterms:created>
  <dcterms:modified xsi:type="dcterms:W3CDTF">2020-10-28T14:14:00Z</dcterms:modified>
</cp:coreProperties>
</file>